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7F27A">
      <w:pPr>
        <w:spacing w:line="700" w:lineRule="exact"/>
        <w:jc w:val="center"/>
        <w:rPr>
          <w:rFonts w:hint="eastAsia" w:ascii="方正小标宋简体" w:hAnsi="Calibri" w:eastAsia="方正小标宋简体" w:cs="Times New Roman"/>
          <w:b/>
          <w:bCs/>
          <w:sz w:val="44"/>
          <w:szCs w:val="44"/>
          <w:highlight w:val="none"/>
        </w:rPr>
      </w:pPr>
      <w:r>
        <w:rPr>
          <w:rFonts w:hint="eastAsia" w:ascii="方正小标宋简体" w:hAnsi="方正小标宋简体" w:eastAsia="方正小标宋简体" w:cs="方正小标宋简体"/>
          <w:b/>
          <w:sz w:val="44"/>
          <w:szCs w:val="44"/>
          <w:highlight w:val="none"/>
        </w:rPr>
        <w:t>南昌市总工会</w:t>
      </w:r>
      <w:r>
        <w:rPr>
          <w:rFonts w:hint="eastAsia" w:ascii="方正小标宋简体" w:hAnsi="Calibri" w:eastAsia="方正小标宋简体" w:cs="Times New Roman"/>
          <w:b/>
          <w:bCs/>
          <w:sz w:val="44"/>
          <w:szCs w:val="44"/>
          <w:highlight w:val="none"/>
        </w:rPr>
        <w:t>市级劳模春节慰问金</w:t>
      </w:r>
    </w:p>
    <w:p w14:paraId="40E7426E">
      <w:pPr>
        <w:spacing w:line="700" w:lineRule="exact"/>
        <w:jc w:val="center"/>
        <w:rPr>
          <w:rFonts w:ascii="方正小标宋简体" w:hAnsi="Calibri" w:eastAsia="方正小标宋简体" w:cs="Times New Roman"/>
          <w:b/>
          <w:bCs/>
          <w:sz w:val="44"/>
          <w:szCs w:val="44"/>
          <w:highlight w:val="none"/>
        </w:rPr>
      </w:pPr>
      <w:r>
        <w:rPr>
          <w:rFonts w:hint="eastAsia" w:ascii="方正小标宋简体" w:hAnsi="Calibri" w:eastAsia="方正小标宋简体" w:cs="Times New Roman"/>
          <w:b/>
          <w:bCs/>
          <w:sz w:val="44"/>
          <w:szCs w:val="44"/>
          <w:highlight w:val="none"/>
        </w:rPr>
        <w:t>项目支出</w:t>
      </w:r>
      <w:r>
        <w:rPr>
          <w:rFonts w:hint="eastAsia" w:ascii="方正小标宋简体" w:hAnsi="Calibri" w:eastAsia="方正小标宋简体" w:cs="Times New Roman"/>
          <w:b/>
          <w:bCs/>
          <w:sz w:val="44"/>
          <w:szCs w:val="44"/>
          <w:highlight w:val="none"/>
          <w:lang w:eastAsia="zh-CN"/>
        </w:rPr>
        <w:t>部门评价</w:t>
      </w:r>
      <w:r>
        <w:rPr>
          <w:rFonts w:hint="eastAsia" w:ascii="方正小标宋简体" w:hAnsi="Calibri" w:eastAsia="方正小标宋简体" w:cs="Times New Roman"/>
          <w:b/>
          <w:bCs/>
          <w:sz w:val="44"/>
          <w:szCs w:val="44"/>
          <w:highlight w:val="none"/>
        </w:rPr>
        <w:t>报告</w:t>
      </w:r>
    </w:p>
    <w:p w14:paraId="6497434E">
      <w:pPr>
        <w:spacing w:line="700" w:lineRule="exact"/>
        <w:jc w:val="center"/>
        <w:rPr>
          <w:rFonts w:ascii="方正小标宋简体" w:hAnsi="Calibri" w:eastAsia="方正小标宋简体" w:cs="Times New Roman"/>
          <w:b/>
          <w:bCs/>
          <w:sz w:val="44"/>
          <w:szCs w:val="44"/>
          <w:highlight w:val="none"/>
          <w:lang w:eastAsia="zh-Hans"/>
        </w:rPr>
      </w:pPr>
      <w:r>
        <w:rPr>
          <w:rFonts w:hint="eastAsia" w:ascii="方正小标宋简体" w:hAnsi="Calibri" w:eastAsia="方正小标宋简体" w:cs="Times New Roman"/>
          <w:b/>
          <w:bCs/>
          <w:sz w:val="44"/>
          <w:szCs w:val="44"/>
          <w:highlight w:val="none"/>
          <w:lang w:eastAsia="zh-Hans"/>
        </w:rPr>
        <w:t>（</w:t>
      </w:r>
      <w:r>
        <w:rPr>
          <w:rFonts w:ascii="方正小标宋简体" w:hAnsi="Calibri" w:eastAsia="方正小标宋简体" w:cs="Times New Roman"/>
          <w:b/>
          <w:bCs/>
          <w:sz w:val="44"/>
          <w:szCs w:val="44"/>
          <w:highlight w:val="none"/>
        </w:rPr>
        <w:t>202</w:t>
      </w:r>
      <w:r>
        <w:rPr>
          <w:rFonts w:hint="eastAsia" w:ascii="方正小标宋简体" w:hAnsi="Calibri" w:eastAsia="方正小标宋简体" w:cs="Times New Roman"/>
          <w:b/>
          <w:bCs/>
          <w:sz w:val="44"/>
          <w:szCs w:val="44"/>
          <w:highlight w:val="none"/>
          <w:lang w:val="en-US" w:eastAsia="zh-CN"/>
        </w:rPr>
        <w:t>4</w:t>
      </w:r>
      <w:r>
        <w:rPr>
          <w:rFonts w:hint="eastAsia" w:ascii="方正小标宋简体" w:hAnsi="Calibri" w:eastAsia="方正小标宋简体" w:cs="Times New Roman"/>
          <w:b/>
          <w:bCs/>
          <w:sz w:val="44"/>
          <w:szCs w:val="44"/>
          <w:highlight w:val="none"/>
          <w:lang w:eastAsia="zh-Hans"/>
        </w:rPr>
        <w:t>年度）</w:t>
      </w:r>
    </w:p>
    <w:p w14:paraId="40878025">
      <w:pPr>
        <w:jc w:val="center"/>
        <w:rPr>
          <w:rFonts w:ascii="仿宋" w:hAnsi="仿宋" w:eastAsia="仿宋"/>
          <w:b/>
          <w:bCs/>
          <w:sz w:val="32"/>
          <w:highlight w:val="none"/>
          <w:lang w:eastAsia="zh-Hans"/>
        </w:rPr>
      </w:pPr>
    </w:p>
    <w:p w14:paraId="24375CE8">
      <w:pPr>
        <w:jc w:val="center"/>
        <w:rPr>
          <w:rFonts w:ascii="仿宋" w:hAnsi="仿宋" w:eastAsia="仿宋"/>
          <w:b/>
          <w:bCs/>
          <w:sz w:val="32"/>
          <w:highlight w:val="none"/>
          <w:lang w:eastAsia="zh-Hans"/>
        </w:rPr>
      </w:pPr>
    </w:p>
    <w:p w14:paraId="25F51F0C">
      <w:pPr>
        <w:jc w:val="center"/>
        <w:rPr>
          <w:rFonts w:ascii="仿宋" w:hAnsi="仿宋" w:eastAsia="仿宋"/>
          <w:b/>
          <w:bCs/>
          <w:sz w:val="32"/>
          <w:highlight w:val="none"/>
          <w:lang w:eastAsia="zh-Hans"/>
        </w:rPr>
      </w:pPr>
    </w:p>
    <w:p w14:paraId="00BA8877">
      <w:pPr>
        <w:jc w:val="center"/>
        <w:rPr>
          <w:rFonts w:ascii="仿宋" w:hAnsi="仿宋" w:eastAsia="仿宋"/>
          <w:b/>
          <w:bCs/>
          <w:sz w:val="32"/>
          <w:highlight w:val="none"/>
          <w:lang w:eastAsia="zh-Hans"/>
        </w:rPr>
      </w:pPr>
    </w:p>
    <w:p w14:paraId="7651B305">
      <w:pPr>
        <w:jc w:val="center"/>
        <w:rPr>
          <w:rFonts w:ascii="仿宋" w:hAnsi="仿宋" w:eastAsia="仿宋"/>
          <w:b/>
          <w:bCs/>
          <w:sz w:val="32"/>
          <w:highlight w:val="none"/>
          <w:lang w:eastAsia="zh-Hans"/>
        </w:rPr>
      </w:pPr>
    </w:p>
    <w:p w14:paraId="158B4264">
      <w:pPr>
        <w:jc w:val="center"/>
        <w:rPr>
          <w:rFonts w:ascii="仿宋" w:hAnsi="仿宋" w:eastAsia="仿宋"/>
          <w:b/>
          <w:bCs/>
          <w:sz w:val="32"/>
          <w:highlight w:val="none"/>
          <w:lang w:eastAsia="zh-Hans"/>
        </w:rPr>
      </w:pPr>
    </w:p>
    <w:p w14:paraId="1DCCE34D">
      <w:pPr>
        <w:jc w:val="center"/>
        <w:rPr>
          <w:rFonts w:ascii="仿宋" w:hAnsi="仿宋" w:eastAsia="仿宋"/>
          <w:b/>
          <w:bCs/>
          <w:sz w:val="32"/>
          <w:highlight w:val="none"/>
          <w:lang w:eastAsia="zh-Hans"/>
        </w:rPr>
      </w:pPr>
    </w:p>
    <w:p w14:paraId="3D0808BE">
      <w:pPr>
        <w:jc w:val="center"/>
        <w:rPr>
          <w:rFonts w:ascii="仿宋" w:hAnsi="仿宋" w:eastAsia="仿宋"/>
          <w:b/>
          <w:bCs/>
          <w:sz w:val="32"/>
          <w:highlight w:val="none"/>
          <w:lang w:eastAsia="zh-Hans"/>
        </w:rPr>
      </w:pPr>
    </w:p>
    <w:p w14:paraId="7F1415C3">
      <w:pPr>
        <w:jc w:val="center"/>
        <w:rPr>
          <w:rFonts w:ascii="仿宋" w:hAnsi="仿宋" w:eastAsia="仿宋"/>
          <w:b/>
          <w:bCs/>
          <w:sz w:val="32"/>
          <w:highlight w:val="none"/>
          <w:lang w:eastAsia="zh-Hans"/>
        </w:rPr>
      </w:pPr>
    </w:p>
    <w:p w14:paraId="100CB9E6">
      <w:pPr>
        <w:jc w:val="center"/>
        <w:rPr>
          <w:rFonts w:ascii="仿宋" w:hAnsi="仿宋" w:eastAsia="仿宋"/>
          <w:b/>
          <w:bCs/>
          <w:sz w:val="32"/>
          <w:highlight w:val="none"/>
          <w:lang w:eastAsia="zh-Hans"/>
        </w:rPr>
      </w:pPr>
    </w:p>
    <w:p w14:paraId="2D97D2CD">
      <w:pPr>
        <w:jc w:val="center"/>
        <w:rPr>
          <w:rFonts w:ascii="仿宋" w:hAnsi="仿宋" w:eastAsia="仿宋"/>
          <w:b/>
          <w:bCs/>
          <w:sz w:val="32"/>
          <w:highlight w:val="none"/>
          <w:lang w:eastAsia="zh-Hans"/>
        </w:rPr>
      </w:pPr>
    </w:p>
    <w:p w14:paraId="7E8AF515">
      <w:pPr>
        <w:jc w:val="center"/>
        <w:rPr>
          <w:rFonts w:ascii="仿宋" w:hAnsi="仿宋" w:eastAsia="仿宋"/>
          <w:b/>
          <w:bCs/>
          <w:sz w:val="32"/>
          <w:highlight w:val="none"/>
          <w:lang w:eastAsia="zh-Hans"/>
        </w:rPr>
      </w:pPr>
    </w:p>
    <w:p w14:paraId="7CCA72C1">
      <w:pPr>
        <w:jc w:val="center"/>
        <w:rPr>
          <w:rFonts w:ascii="仿宋" w:hAnsi="仿宋" w:eastAsia="仿宋"/>
          <w:b/>
          <w:bCs/>
          <w:sz w:val="32"/>
          <w:highlight w:val="none"/>
          <w:lang w:eastAsia="zh-Hans"/>
        </w:rPr>
      </w:pPr>
    </w:p>
    <w:p w14:paraId="3FD9D13E">
      <w:pPr>
        <w:jc w:val="center"/>
        <w:rPr>
          <w:rFonts w:ascii="仿宋" w:hAnsi="仿宋" w:eastAsia="仿宋"/>
          <w:b/>
          <w:bCs/>
          <w:sz w:val="32"/>
          <w:highlight w:val="none"/>
          <w:lang w:eastAsia="zh-Hans"/>
        </w:rPr>
      </w:pPr>
    </w:p>
    <w:p w14:paraId="577FF404">
      <w:pPr>
        <w:ind w:firstLine="640" w:firstLineChars="200"/>
        <w:jc w:val="center"/>
        <w:rPr>
          <w:rFonts w:ascii="仿宋_GB2312" w:hAnsi="仿宋_GB2312" w:eastAsia="仿宋_GB2312" w:cs="仿宋_GB2312"/>
          <w:kern w:val="0"/>
          <w:sz w:val="32"/>
          <w:szCs w:val="32"/>
          <w:highlight w:val="none"/>
          <w:lang w:eastAsia="zh-Hans"/>
        </w:rPr>
      </w:pPr>
      <w:r>
        <w:rPr>
          <w:rFonts w:hint="eastAsia" w:ascii="仿宋_GB2312" w:hAnsi="仿宋_GB2312" w:eastAsia="仿宋_GB2312" w:cs="仿宋_GB2312"/>
          <w:kern w:val="0"/>
          <w:sz w:val="32"/>
          <w:szCs w:val="32"/>
          <w:highlight w:val="none"/>
          <w:lang w:eastAsia="zh-Hans"/>
        </w:rPr>
        <w:t>南昌市总工会</w:t>
      </w:r>
    </w:p>
    <w:p w14:paraId="5975B05C">
      <w:pPr>
        <w:ind w:firstLine="640" w:firstLineChars="200"/>
        <w:jc w:val="center"/>
        <w:rPr>
          <w:rFonts w:ascii="仿宋_GB2312" w:hAnsi="仿宋_GB2312" w:eastAsia="仿宋_GB2312" w:cs="仿宋_GB2312"/>
          <w:kern w:val="0"/>
          <w:sz w:val="32"/>
          <w:szCs w:val="32"/>
          <w:highlight w:val="none"/>
          <w:lang w:eastAsia="zh-Hans"/>
        </w:rPr>
      </w:pPr>
      <w:r>
        <w:rPr>
          <w:rFonts w:ascii="仿宋_GB2312" w:hAnsi="仿宋_GB2312" w:eastAsia="仿宋_GB2312" w:cs="仿宋_GB2312"/>
          <w:kern w:val="0"/>
          <w:sz w:val="32"/>
          <w:szCs w:val="32"/>
          <w:highlight w:val="none"/>
          <w:lang w:eastAsia="zh-Hans"/>
        </w:rPr>
        <w:t>202</w:t>
      </w:r>
      <w:r>
        <w:rPr>
          <w:rFonts w:hint="eastAsia" w:ascii="仿宋_GB2312" w:hAnsi="仿宋_GB2312" w:eastAsia="仿宋_GB2312" w:cs="仿宋_GB2312"/>
          <w:kern w:val="0"/>
          <w:sz w:val="32"/>
          <w:szCs w:val="32"/>
          <w:highlight w:val="none"/>
        </w:rPr>
        <w:t>4</w:t>
      </w:r>
      <w:r>
        <w:rPr>
          <w:rFonts w:hint="eastAsia" w:ascii="仿宋_GB2312" w:hAnsi="仿宋_GB2312" w:eastAsia="仿宋_GB2312" w:cs="仿宋_GB2312"/>
          <w:kern w:val="0"/>
          <w:sz w:val="32"/>
          <w:szCs w:val="32"/>
          <w:highlight w:val="none"/>
          <w:lang w:eastAsia="zh-Hans"/>
        </w:rPr>
        <w:t>年</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eastAsia="zh-Hans"/>
        </w:rPr>
        <w:t>月</w:t>
      </w:r>
      <w:r>
        <w:rPr>
          <w:rFonts w:hint="eastAsia" w:ascii="仿宋_GB2312" w:hAnsi="仿宋_GB2312" w:eastAsia="仿宋_GB2312" w:cs="仿宋_GB2312"/>
          <w:kern w:val="0"/>
          <w:sz w:val="32"/>
          <w:szCs w:val="32"/>
          <w:highlight w:val="none"/>
          <w:lang w:val="en-US" w:eastAsia="zh-CN"/>
        </w:rPr>
        <w:t>24</w:t>
      </w:r>
      <w:r>
        <w:rPr>
          <w:rFonts w:hint="eastAsia" w:ascii="仿宋_GB2312" w:hAnsi="仿宋_GB2312" w:eastAsia="仿宋_GB2312" w:cs="仿宋_GB2312"/>
          <w:kern w:val="0"/>
          <w:sz w:val="32"/>
          <w:szCs w:val="32"/>
          <w:highlight w:val="none"/>
          <w:lang w:eastAsia="zh-Hans"/>
        </w:rPr>
        <w:t>日</w:t>
      </w:r>
    </w:p>
    <w:p w14:paraId="621F577B">
      <w:pPr>
        <w:jc w:val="center"/>
        <w:rPr>
          <w:b/>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pPr>
    </w:p>
    <w:p w14:paraId="528FCEFE">
      <w:pPr>
        <w:pStyle w:val="10"/>
        <w:rPr>
          <w:highlight w:val="none"/>
        </w:rPr>
      </w:pPr>
      <w:r>
        <w:rPr>
          <w:rFonts w:hint="eastAsia"/>
          <w:highlight w:val="none"/>
        </w:rPr>
        <w:t>目  录</w:t>
      </w:r>
    </w:p>
    <w:p w14:paraId="139C686E">
      <w:pPr>
        <w:pStyle w:val="10"/>
        <w:rPr>
          <w:b w:val="0"/>
          <w:kern w:val="2"/>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"_Toc165999514" </w:instrText>
      </w:r>
      <w:r>
        <w:rPr>
          <w:highlight w:val="none"/>
        </w:rPr>
        <w:fldChar w:fldCharType="separate"/>
      </w:r>
      <w:r>
        <w:rPr>
          <w:rStyle w:val="15"/>
          <w:rFonts w:hint="eastAsia" w:ascii="黑体" w:hAnsi="黑体" w:eastAsia="黑体"/>
          <w:b w:val="0"/>
          <w:sz w:val="28"/>
          <w:szCs w:val="32"/>
          <w:highlight w:val="none"/>
        </w:rPr>
        <w:t>一、基本情况</w:t>
      </w:r>
      <w:r>
        <w:rPr>
          <w:b w:val="0"/>
          <w:highlight w:val="none"/>
        </w:rPr>
        <w:tab/>
      </w:r>
      <w:r>
        <w:rPr>
          <w:b w:val="0"/>
          <w:highlight w:val="none"/>
        </w:rPr>
        <w:fldChar w:fldCharType="begin"/>
      </w:r>
      <w:r>
        <w:rPr>
          <w:b w:val="0"/>
          <w:highlight w:val="none"/>
        </w:rPr>
        <w:instrText xml:space="preserve"> PAGEREF _Toc165999514 \h </w:instrText>
      </w:r>
      <w:r>
        <w:rPr>
          <w:b w:val="0"/>
          <w:highlight w:val="none"/>
        </w:rPr>
        <w:fldChar w:fldCharType="separate"/>
      </w:r>
      <w:r>
        <w:rPr>
          <w:b w:val="0"/>
          <w:highlight w:val="none"/>
        </w:rPr>
        <w:t>1</w:t>
      </w:r>
      <w:r>
        <w:rPr>
          <w:b w:val="0"/>
          <w:highlight w:val="none"/>
        </w:rPr>
        <w:fldChar w:fldCharType="end"/>
      </w:r>
      <w:r>
        <w:rPr>
          <w:b w:val="0"/>
          <w:highlight w:val="none"/>
        </w:rPr>
        <w:fldChar w:fldCharType="end"/>
      </w:r>
    </w:p>
    <w:p w14:paraId="1840EE06">
      <w:pPr>
        <w:pStyle w:val="11"/>
        <w:tabs>
          <w:tab w:val="right" w:leader="dot" w:pos="8296"/>
        </w:tabs>
        <w:rPr>
          <w:kern w:val="2"/>
          <w:sz w:val="28"/>
          <w:szCs w:val="32"/>
          <w:highlight w:val="none"/>
        </w:rPr>
      </w:pPr>
      <w:r>
        <w:rPr>
          <w:highlight w:val="none"/>
        </w:rPr>
        <w:fldChar w:fldCharType="begin"/>
      </w:r>
      <w:r>
        <w:rPr>
          <w:highlight w:val="none"/>
        </w:rPr>
        <w:instrText xml:space="preserve"> HYPERLINK \l "_Toc165999515" </w:instrText>
      </w:r>
      <w:r>
        <w:rPr>
          <w:highlight w:val="none"/>
        </w:rPr>
        <w:fldChar w:fldCharType="separate"/>
      </w:r>
      <w:r>
        <w:rPr>
          <w:rStyle w:val="15"/>
          <w:rFonts w:hint="eastAsia" w:ascii="楷体_GB2312" w:eastAsia="楷体_GB2312"/>
          <w:sz w:val="28"/>
          <w:szCs w:val="32"/>
          <w:highlight w:val="none"/>
        </w:rPr>
        <w:t>（一）项目概况</w:t>
      </w:r>
      <w:r>
        <w:rPr>
          <w:sz w:val="28"/>
          <w:szCs w:val="32"/>
          <w:highlight w:val="none"/>
        </w:rPr>
        <w:tab/>
      </w:r>
      <w:r>
        <w:rPr>
          <w:sz w:val="28"/>
          <w:szCs w:val="32"/>
          <w:highlight w:val="none"/>
        </w:rPr>
        <w:fldChar w:fldCharType="begin"/>
      </w:r>
      <w:r>
        <w:rPr>
          <w:sz w:val="28"/>
          <w:szCs w:val="32"/>
          <w:highlight w:val="none"/>
        </w:rPr>
        <w:instrText xml:space="preserve"> PAGEREF _Toc165999515 \h </w:instrText>
      </w:r>
      <w:r>
        <w:rPr>
          <w:sz w:val="28"/>
          <w:szCs w:val="32"/>
          <w:highlight w:val="none"/>
        </w:rPr>
        <w:fldChar w:fldCharType="separate"/>
      </w:r>
      <w:r>
        <w:rPr>
          <w:sz w:val="28"/>
          <w:szCs w:val="32"/>
          <w:highlight w:val="none"/>
        </w:rPr>
        <w:t>1</w:t>
      </w:r>
      <w:r>
        <w:rPr>
          <w:sz w:val="28"/>
          <w:szCs w:val="32"/>
          <w:highlight w:val="none"/>
        </w:rPr>
        <w:fldChar w:fldCharType="end"/>
      </w:r>
      <w:r>
        <w:rPr>
          <w:sz w:val="28"/>
          <w:szCs w:val="32"/>
          <w:highlight w:val="none"/>
        </w:rPr>
        <w:fldChar w:fldCharType="end"/>
      </w:r>
    </w:p>
    <w:p w14:paraId="3B8A6475">
      <w:pPr>
        <w:pStyle w:val="11"/>
        <w:tabs>
          <w:tab w:val="right" w:leader="dot" w:pos="8296"/>
        </w:tabs>
        <w:rPr>
          <w:kern w:val="2"/>
          <w:sz w:val="28"/>
          <w:szCs w:val="32"/>
          <w:highlight w:val="none"/>
        </w:rPr>
      </w:pPr>
      <w:r>
        <w:rPr>
          <w:highlight w:val="none"/>
        </w:rPr>
        <w:fldChar w:fldCharType="begin"/>
      </w:r>
      <w:r>
        <w:rPr>
          <w:highlight w:val="none"/>
        </w:rPr>
        <w:instrText xml:space="preserve"> HYPERLINK \l "_Toc165999516" </w:instrText>
      </w:r>
      <w:r>
        <w:rPr>
          <w:highlight w:val="none"/>
        </w:rPr>
        <w:fldChar w:fldCharType="separate"/>
      </w:r>
      <w:r>
        <w:rPr>
          <w:rStyle w:val="15"/>
          <w:rFonts w:hint="eastAsia" w:ascii="楷体_GB2312" w:eastAsia="楷体_GB2312"/>
          <w:sz w:val="28"/>
          <w:szCs w:val="32"/>
          <w:highlight w:val="none"/>
        </w:rPr>
        <w:t>（二）项目绩效目标</w:t>
      </w:r>
      <w:r>
        <w:rPr>
          <w:sz w:val="28"/>
          <w:szCs w:val="32"/>
          <w:highlight w:val="none"/>
        </w:rPr>
        <w:tab/>
      </w:r>
      <w:r>
        <w:rPr>
          <w:sz w:val="28"/>
          <w:szCs w:val="32"/>
          <w:highlight w:val="none"/>
        </w:rPr>
        <w:fldChar w:fldCharType="begin"/>
      </w:r>
      <w:r>
        <w:rPr>
          <w:sz w:val="28"/>
          <w:szCs w:val="32"/>
          <w:highlight w:val="none"/>
        </w:rPr>
        <w:instrText xml:space="preserve"> PAGEREF _Toc165999516 \h </w:instrText>
      </w:r>
      <w:r>
        <w:rPr>
          <w:sz w:val="28"/>
          <w:szCs w:val="32"/>
          <w:highlight w:val="none"/>
        </w:rPr>
        <w:fldChar w:fldCharType="separate"/>
      </w:r>
      <w:r>
        <w:rPr>
          <w:sz w:val="28"/>
          <w:szCs w:val="32"/>
          <w:highlight w:val="none"/>
        </w:rPr>
        <w:t>1</w:t>
      </w:r>
      <w:r>
        <w:rPr>
          <w:sz w:val="28"/>
          <w:szCs w:val="32"/>
          <w:highlight w:val="none"/>
        </w:rPr>
        <w:fldChar w:fldCharType="end"/>
      </w:r>
      <w:r>
        <w:rPr>
          <w:sz w:val="28"/>
          <w:szCs w:val="32"/>
          <w:highlight w:val="none"/>
        </w:rPr>
        <w:fldChar w:fldCharType="end"/>
      </w:r>
    </w:p>
    <w:p w14:paraId="3C7F2E0A">
      <w:pPr>
        <w:pStyle w:val="10"/>
        <w:rPr>
          <w:b w:val="0"/>
          <w:kern w:val="2"/>
          <w:highlight w:val="none"/>
        </w:rPr>
      </w:pPr>
      <w:r>
        <w:rPr>
          <w:highlight w:val="none"/>
        </w:rPr>
        <w:fldChar w:fldCharType="begin"/>
      </w:r>
      <w:r>
        <w:rPr>
          <w:highlight w:val="none"/>
        </w:rPr>
        <w:instrText xml:space="preserve"> HYPERLINK \l "_Toc165999517" </w:instrText>
      </w:r>
      <w:r>
        <w:rPr>
          <w:highlight w:val="none"/>
        </w:rPr>
        <w:fldChar w:fldCharType="separate"/>
      </w:r>
      <w:r>
        <w:rPr>
          <w:rStyle w:val="15"/>
          <w:rFonts w:hint="eastAsia" w:ascii="黑体" w:hAnsi="黑体" w:eastAsia="黑体"/>
          <w:b w:val="0"/>
          <w:sz w:val="28"/>
          <w:szCs w:val="32"/>
          <w:highlight w:val="none"/>
        </w:rPr>
        <w:t>二、绩效评价工作开展情况</w:t>
      </w:r>
      <w:r>
        <w:rPr>
          <w:b w:val="0"/>
          <w:highlight w:val="none"/>
        </w:rPr>
        <w:tab/>
      </w:r>
      <w:r>
        <w:rPr>
          <w:b w:val="0"/>
          <w:highlight w:val="none"/>
        </w:rPr>
        <w:fldChar w:fldCharType="begin"/>
      </w:r>
      <w:r>
        <w:rPr>
          <w:b w:val="0"/>
          <w:highlight w:val="none"/>
        </w:rPr>
        <w:instrText xml:space="preserve"> PAGEREF _Toc165999517 \h </w:instrText>
      </w:r>
      <w:r>
        <w:rPr>
          <w:b w:val="0"/>
          <w:highlight w:val="none"/>
        </w:rPr>
        <w:fldChar w:fldCharType="separate"/>
      </w:r>
      <w:r>
        <w:rPr>
          <w:b w:val="0"/>
          <w:highlight w:val="none"/>
        </w:rPr>
        <w:t>2</w:t>
      </w:r>
      <w:r>
        <w:rPr>
          <w:b w:val="0"/>
          <w:highlight w:val="none"/>
        </w:rPr>
        <w:fldChar w:fldCharType="end"/>
      </w:r>
      <w:r>
        <w:rPr>
          <w:b w:val="0"/>
          <w:highlight w:val="none"/>
        </w:rPr>
        <w:fldChar w:fldCharType="end"/>
      </w:r>
    </w:p>
    <w:p w14:paraId="0811A0CA">
      <w:pPr>
        <w:pStyle w:val="11"/>
        <w:tabs>
          <w:tab w:val="right" w:leader="dot" w:pos="8296"/>
        </w:tabs>
        <w:rPr>
          <w:kern w:val="2"/>
          <w:sz w:val="28"/>
          <w:szCs w:val="32"/>
          <w:highlight w:val="none"/>
        </w:rPr>
      </w:pPr>
      <w:r>
        <w:rPr>
          <w:highlight w:val="none"/>
        </w:rPr>
        <w:fldChar w:fldCharType="begin"/>
      </w:r>
      <w:r>
        <w:rPr>
          <w:highlight w:val="none"/>
        </w:rPr>
        <w:instrText xml:space="preserve"> HYPERLINK \l "_Toc165999518" </w:instrText>
      </w:r>
      <w:r>
        <w:rPr>
          <w:highlight w:val="none"/>
        </w:rPr>
        <w:fldChar w:fldCharType="separate"/>
      </w:r>
      <w:r>
        <w:rPr>
          <w:rStyle w:val="15"/>
          <w:rFonts w:hint="eastAsia" w:ascii="楷体_GB2312" w:eastAsia="楷体_GB2312"/>
          <w:sz w:val="28"/>
          <w:szCs w:val="32"/>
          <w:highlight w:val="none"/>
        </w:rPr>
        <w:t>（一）绩效评价的目的、对象和范围</w:t>
      </w:r>
      <w:r>
        <w:rPr>
          <w:sz w:val="28"/>
          <w:szCs w:val="32"/>
          <w:highlight w:val="none"/>
        </w:rPr>
        <w:tab/>
      </w:r>
      <w:r>
        <w:rPr>
          <w:sz w:val="28"/>
          <w:szCs w:val="32"/>
          <w:highlight w:val="none"/>
        </w:rPr>
        <w:fldChar w:fldCharType="begin"/>
      </w:r>
      <w:r>
        <w:rPr>
          <w:sz w:val="28"/>
          <w:szCs w:val="32"/>
          <w:highlight w:val="none"/>
        </w:rPr>
        <w:instrText xml:space="preserve"> PAGEREF _Toc165999518 \h </w:instrText>
      </w:r>
      <w:r>
        <w:rPr>
          <w:sz w:val="28"/>
          <w:szCs w:val="32"/>
          <w:highlight w:val="none"/>
        </w:rPr>
        <w:fldChar w:fldCharType="separate"/>
      </w:r>
      <w:r>
        <w:rPr>
          <w:sz w:val="28"/>
          <w:szCs w:val="32"/>
          <w:highlight w:val="none"/>
        </w:rPr>
        <w:t>2</w:t>
      </w:r>
      <w:r>
        <w:rPr>
          <w:sz w:val="28"/>
          <w:szCs w:val="32"/>
          <w:highlight w:val="none"/>
        </w:rPr>
        <w:fldChar w:fldCharType="end"/>
      </w:r>
      <w:r>
        <w:rPr>
          <w:sz w:val="28"/>
          <w:szCs w:val="32"/>
          <w:highlight w:val="none"/>
        </w:rPr>
        <w:fldChar w:fldCharType="end"/>
      </w:r>
    </w:p>
    <w:p w14:paraId="29C038C9">
      <w:pPr>
        <w:pStyle w:val="11"/>
        <w:tabs>
          <w:tab w:val="right" w:leader="dot" w:pos="8296"/>
        </w:tabs>
        <w:rPr>
          <w:kern w:val="2"/>
          <w:sz w:val="28"/>
          <w:szCs w:val="32"/>
          <w:highlight w:val="none"/>
        </w:rPr>
      </w:pPr>
      <w:r>
        <w:rPr>
          <w:highlight w:val="none"/>
        </w:rPr>
        <w:fldChar w:fldCharType="begin"/>
      </w:r>
      <w:r>
        <w:rPr>
          <w:highlight w:val="none"/>
        </w:rPr>
        <w:instrText xml:space="preserve"> HYPERLINK \l "_Toc165999519" </w:instrText>
      </w:r>
      <w:r>
        <w:rPr>
          <w:highlight w:val="none"/>
        </w:rPr>
        <w:fldChar w:fldCharType="separate"/>
      </w:r>
      <w:r>
        <w:rPr>
          <w:rStyle w:val="15"/>
          <w:rFonts w:hint="eastAsia" w:ascii="楷体_GB2312" w:eastAsia="楷体_GB2312"/>
          <w:sz w:val="28"/>
          <w:szCs w:val="32"/>
          <w:highlight w:val="none"/>
        </w:rPr>
        <w:t>（二）评价方法和指标体系</w:t>
      </w:r>
      <w:r>
        <w:rPr>
          <w:sz w:val="28"/>
          <w:szCs w:val="32"/>
          <w:highlight w:val="none"/>
        </w:rPr>
        <w:tab/>
      </w:r>
      <w:r>
        <w:rPr>
          <w:sz w:val="28"/>
          <w:szCs w:val="32"/>
          <w:highlight w:val="none"/>
        </w:rPr>
        <w:fldChar w:fldCharType="begin"/>
      </w:r>
      <w:r>
        <w:rPr>
          <w:sz w:val="28"/>
          <w:szCs w:val="32"/>
          <w:highlight w:val="none"/>
        </w:rPr>
        <w:instrText xml:space="preserve"> PAGEREF _Toc165999519 \h </w:instrText>
      </w:r>
      <w:r>
        <w:rPr>
          <w:sz w:val="28"/>
          <w:szCs w:val="32"/>
          <w:highlight w:val="none"/>
        </w:rPr>
        <w:fldChar w:fldCharType="separate"/>
      </w:r>
      <w:r>
        <w:rPr>
          <w:sz w:val="28"/>
          <w:szCs w:val="32"/>
          <w:highlight w:val="none"/>
        </w:rPr>
        <w:t>2</w:t>
      </w:r>
      <w:r>
        <w:rPr>
          <w:sz w:val="28"/>
          <w:szCs w:val="32"/>
          <w:highlight w:val="none"/>
        </w:rPr>
        <w:fldChar w:fldCharType="end"/>
      </w:r>
      <w:r>
        <w:rPr>
          <w:sz w:val="28"/>
          <w:szCs w:val="32"/>
          <w:highlight w:val="none"/>
        </w:rPr>
        <w:fldChar w:fldCharType="end"/>
      </w:r>
    </w:p>
    <w:p w14:paraId="3FC1BEC0">
      <w:pPr>
        <w:pStyle w:val="11"/>
        <w:tabs>
          <w:tab w:val="right" w:leader="dot" w:pos="8296"/>
        </w:tabs>
        <w:rPr>
          <w:kern w:val="2"/>
          <w:sz w:val="28"/>
          <w:szCs w:val="32"/>
          <w:highlight w:val="none"/>
        </w:rPr>
      </w:pPr>
      <w:r>
        <w:rPr>
          <w:highlight w:val="none"/>
        </w:rPr>
        <w:fldChar w:fldCharType="begin"/>
      </w:r>
      <w:r>
        <w:rPr>
          <w:highlight w:val="none"/>
        </w:rPr>
        <w:instrText xml:space="preserve"> HYPERLINK \l "_Toc165999520" </w:instrText>
      </w:r>
      <w:r>
        <w:rPr>
          <w:highlight w:val="none"/>
        </w:rPr>
        <w:fldChar w:fldCharType="separate"/>
      </w:r>
      <w:r>
        <w:rPr>
          <w:rStyle w:val="15"/>
          <w:rFonts w:hint="eastAsia" w:ascii="楷体_GB2312" w:eastAsia="楷体_GB2312"/>
          <w:sz w:val="28"/>
          <w:szCs w:val="32"/>
          <w:highlight w:val="none"/>
        </w:rPr>
        <w:t>（三）评价实施过程</w:t>
      </w:r>
      <w:r>
        <w:rPr>
          <w:sz w:val="28"/>
          <w:szCs w:val="32"/>
          <w:highlight w:val="none"/>
        </w:rPr>
        <w:tab/>
      </w:r>
      <w:r>
        <w:rPr>
          <w:sz w:val="28"/>
          <w:szCs w:val="32"/>
          <w:highlight w:val="none"/>
        </w:rPr>
        <w:fldChar w:fldCharType="begin"/>
      </w:r>
      <w:r>
        <w:rPr>
          <w:sz w:val="28"/>
          <w:szCs w:val="32"/>
          <w:highlight w:val="none"/>
        </w:rPr>
        <w:instrText xml:space="preserve"> PAGEREF _Toc165999520 \h </w:instrText>
      </w:r>
      <w:r>
        <w:rPr>
          <w:sz w:val="28"/>
          <w:szCs w:val="32"/>
          <w:highlight w:val="none"/>
        </w:rPr>
        <w:fldChar w:fldCharType="separate"/>
      </w:r>
      <w:r>
        <w:rPr>
          <w:sz w:val="28"/>
          <w:szCs w:val="32"/>
          <w:highlight w:val="none"/>
        </w:rPr>
        <w:t>4</w:t>
      </w:r>
      <w:r>
        <w:rPr>
          <w:sz w:val="28"/>
          <w:szCs w:val="32"/>
          <w:highlight w:val="none"/>
        </w:rPr>
        <w:fldChar w:fldCharType="end"/>
      </w:r>
      <w:r>
        <w:rPr>
          <w:sz w:val="28"/>
          <w:szCs w:val="32"/>
          <w:highlight w:val="none"/>
        </w:rPr>
        <w:fldChar w:fldCharType="end"/>
      </w:r>
    </w:p>
    <w:p w14:paraId="450E79DF">
      <w:pPr>
        <w:pStyle w:val="10"/>
        <w:rPr>
          <w:b w:val="0"/>
          <w:kern w:val="2"/>
          <w:highlight w:val="none"/>
        </w:rPr>
      </w:pPr>
      <w:r>
        <w:rPr>
          <w:highlight w:val="none"/>
        </w:rPr>
        <w:fldChar w:fldCharType="begin"/>
      </w:r>
      <w:r>
        <w:rPr>
          <w:highlight w:val="none"/>
        </w:rPr>
        <w:instrText xml:space="preserve"> HYPERLINK \l "_Toc165999521" </w:instrText>
      </w:r>
      <w:r>
        <w:rPr>
          <w:highlight w:val="none"/>
        </w:rPr>
        <w:fldChar w:fldCharType="separate"/>
      </w:r>
      <w:r>
        <w:rPr>
          <w:rStyle w:val="15"/>
          <w:rFonts w:hint="eastAsia" w:ascii="黑体" w:hAnsi="黑体" w:eastAsia="黑体"/>
          <w:b w:val="0"/>
          <w:sz w:val="28"/>
          <w:szCs w:val="32"/>
          <w:highlight w:val="none"/>
        </w:rPr>
        <w:t>三、综合评价情况及评价结论</w:t>
      </w:r>
      <w:r>
        <w:rPr>
          <w:b w:val="0"/>
          <w:highlight w:val="none"/>
        </w:rPr>
        <w:tab/>
      </w:r>
      <w:r>
        <w:rPr>
          <w:b w:val="0"/>
          <w:highlight w:val="none"/>
        </w:rPr>
        <w:fldChar w:fldCharType="begin"/>
      </w:r>
      <w:r>
        <w:rPr>
          <w:b w:val="0"/>
          <w:highlight w:val="none"/>
        </w:rPr>
        <w:instrText xml:space="preserve"> PAGEREF _Toc165999521 \h </w:instrText>
      </w:r>
      <w:r>
        <w:rPr>
          <w:b w:val="0"/>
          <w:highlight w:val="none"/>
        </w:rPr>
        <w:fldChar w:fldCharType="separate"/>
      </w:r>
      <w:r>
        <w:rPr>
          <w:b w:val="0"/>
          <w:highlight w:val="none"/>
        </w:rPr>
        <w:t>4</w:t>
      </w:r>
      <w:r>
        <w:rPr>
          <w:b w:val="0"/>
          <w:highlight w:val="none"/>
        </w:rPr>
        <w:fldChar w:fldCharType="end"/>
      </w:r>
      <w:r>
        <w:rPr>
          <w:b w:val="0"/>
          <w:highlight w:val="none"/>
        </w:rPr>
        <w:fldChar w:fldCharType="end"/>
      </w:r>
    </w:p>
    <w:p w14:paraId="786293DC">
      <w:pPr>
        <w:pStyle w:val="11"/>
        <w:tabs>
          <w:tab w:val="right" w:leader="dot" w:pos="8296"/>
        </w:tabs>
        <w:rPr>
          <w:kern w:val="2"/>
          <w:sz w:val="28"/>
          <w:szCs w:val="32"/>
          <w:highlight w:val="none"/>
        </w:rPr>
      </w:pPr>
      <w:r>
        <w:rPr>
          <w:highlight w:val="none"/>
        </w:rPr>
        <w:fldChar w:fldCharType="begin"/>
      </w:r>
      <w:r>
        <w:rPr>
          <w:highlight w:val="none"/>
        </w:rPr>
        <w:instrText xml:space="preserve"> HYPERLINK \l "_Toc165999522" </w:instrText>
      </w:r>
      <w:r>
        <w:rPr>
          <w:highlight w:val="none"/>
        </w:rPr>
        <w:fldChar w:fldCharType="separate"/>
      </w:r>
      <w:r>
        <w:rPr>
          <w:rStyle w:val="15"/>
          <w:rFonts w:hint="eastAsia" w:ascii="楷体_GB2312" w:eastAsia="楷体_GB2312"/>
          <w:sz w:val="28"/>
          <w:szCs w:val="32"/>
          <w:highlight w:val="none"/>
        </w:rPr>
        <w:t>（一）评价情况</w:t>
      </w:r>
      <w:r>
        <w:rPr>
          <w:sz w:val="28"/>
          <w:szCs w:val="32"/>
          <w:highlight w:val="none"/>
        </w:rPr>
        <w:tab/>
      </w:r>
      <w:r>
        <w:rPr>
          <w:sz w:val="28"/>
          <w:szCs w:val="32"/>
          <w:highlight w:val="none"/>
        </w:rPr>
        <w:fldChar w:fldCharType="begin"/>
      </w:r>
      <w:r>
        <w:rPr>
          <w:sz w:val="28"/>
          <w:szCs w:val="32"/>
          <w:highlight w:val="none"/>
        </w:rPr>
        <w:instrText xml:space="preserve"> PAGEREF _Toc165999522 \h </w:instrText>
      </w:r>
      <w:r>
        <w:rPr>
          <w:sz w:val="28"/>
          <w:szCs w:val="32"/>
          <w:highlight w:val="none"/>
        </w:rPr>
        <w:fldChar w:fldCharType="separate"/>
      </w:r>
      <w:r>
        <w:rPr>
          <w:sz w:val="28"/>
          <w:szCs w:val="32"/>
          <w:highlight w:val="none"/>
        </w:rPr>
        <w:t>4</w:t>
      </w:r>
      <w:r>
        <w:rPr>
          <w:sz w:val="28"/>
          <w:szCs w:val="32"/>
          <w:highlight w:val="none"/>
        </w:rPr>
        <w:fldChar w:fldCharType="end"/>
      </w:r>
      <w:r>
        <w:rPr>
          <w:sz w:val="28"/>
          <w:szCs w:val="32"/>
          <w:highlight w:val="none"/>
        </w:rPr>
        <w:fldChar w:fldCharType="end"/>
      </w:r>
    </w:p>
    <w:p w14:paraId="1490F114">
      <w:pPr>
        <w:pStyle w:val="11"/>
        <w:tabs>
          <w:tab w:val="right" w:leader="dot" w:pos="8296"/>
        </w:tabs>
        <w:rPr>
          <w:kern w:val="2"/>
          <w:sz w:val="28"/>
          <w:szCs w:val="32"/>
          <w:highlight w:val="none"/>
        </w:rPr>
      </w:pPr>
      <w:r>
        <w:rPr>
          <w:highlight w:val="none"/>
        </w:rPr>
        <w:fldChar w:fldCharType="begin"/>
      </w:r>
      <w:r>
        <w:rPr>
          <w:highlight w:val="none"/>
        </w:rPr>
        <w:instrText xml:space="preserve"> HYPERLINK \l "_Toc165999523" </w:instrText>
      </w:r>
      <w:r>
        <w:rPr>
          <w:highlight w:val="none"/>
        </w:rPr>
        <w:fldChar w:fldCharType="separate"/>
      </w:r>
      <w:r>
        <w:rPr>
          <w:rStyle w:val="15"/>
          <w:rFonts w:hint="eastAsia" w:ascii="楷体_GB2312" w:eastAsia="楷体_GB2312"/>
          <w:sz w:val="28"/>
          <w:szCs w:val="32"/>
          <w:highlight w:val="none"/>
        </w:rPr>
        <w:t>（二）评价结论</w:t>
      </w:r>
      <w:r>
        <w:rPr>
          <w:sz w:val="28"/>
          <w:szCs w:val="32"/>
          <w:highlight w:val="none"/>
        </w:rPr>
        <w:tab/>
      </w:r>
      <w:r>
        <w:rPr>
          <w:sz w:val="28"/>
          <w:szCs w:val="32"/>
          <w:highlight w:val="none"/>
        </w:rPr>
        <w:fldChar w:fldCharType="begin"/>
      </w:r>
      <w:r>
        <w:rPr>
          <w:sz w:val="28"/>
          <w:szCs w:val="32"/>
          <w:highlight w:val="none"/>
        </w:rPr>
        <w:instrText xml:space="preserve"> PAGEREF _Toc165999523 \h </w:instrText>
      </w:r>
      <w:r>
        <w:rPr>
          <w:sz w:val="28"/>
          <w:szCs w:val="32"/>
          <w:highlight w:val="none"/>
        </w:rPr>
        <w:fldChar w:fldCharType="separate"/>
      </w:r>
      <w:r>
        <w:rPr>
          <w:sz w:val="28"/>
          <w:szCs w:val="32"/>
          <w:highlight w:val="none"/>
        </w:rPr>
        <w:t>4</w:t>
      </w:r>
      <w:r>
        <w:rPr>
          <w:sz w:val="28"/>
          <w:szCs w:val="32"/>
          <w:highlight w:val="none"/>
        </w:rPr>
        <w:fldChar w:fldCharType="end"/>
      </w:r>
      <w:r>
        <w:rPr>
          <w:sz w:val="28"/>
          <w:szCs w:val="32"/>
          <w:highlight w:val="none"/>
        </w:rPr>
        <w:fldChar w:fldCharType="end"/>
      </w:r>
    </w:p>
    <w:p w14:paraId="49F96657">
      <w:pPr>
        <w:pStyle w:val="10"/>
        <w:rPr>
          <w:b w:val="0"/>
          <w:kern w:val="2"/>
          <w:highlight w:val="none"/>
        </w:rPr>
      </w:pPr>
      <w:r>
        <w:rPr>
          <w:highlight w:val="none"/>
        </w:rPr>
        <w:fldChar w:fldCharType="begin"/>
      </w:r>
      <w:r>
        <w:rPr>
          <w:highlight w:val="none"/>
        </w:rPr>
        <w:instrText xml:space="preserve"> HYPERLINK \l "_Toc165999524" </w:instrText>
      </w:r>
      <w:r>
        <w:rPr>
          <w:highlight w:val="none"/>
        </w:rPr>
        <w:fldChar w:fldCharType="separate"/>
      </w:r>
      <w:r>
        <w:rPr>
          <w:rStyle w:val="15"/>
          <w:rFonts w:hint="eastAsia" w:ascii="黑体" w:hAnsi="黑体" w:eastAsia="黑体"/>
          <w:b w:val="0"/>
          <w:sz w:val="28"/>
          <w:szCs w:val="32"/>
          <w:highlight w:val="none"/>
        </w:rPr>
        <w:t>四、绩效评价指标分析</w:t>
      </w:r>
      <w:r>
        <w:rPr>
          <w:b w:val="0"/>
          <w:highlight w:val="none"/>
        </w:rPr>
        <w:tab/>
      </w:r>
      <w:r>
        <w:rPr>
          <w:b w:val="0"/>
          <w:highlight w:val="none"/>
        </w:rPr>
        <w:fldChar w:fldCharType="begin"/>
      </w:r>
      <w:r>
        <w:rPr>
          <w:b w:val="0"/>
          <w:highlight w:val="none"/>
        </w:rPr>
        <w:instrText xml:space="preserve"> PAGEREF _Toc165999524 \h </w:instrText>
      </w:r>
      <w:r>
        <w:rPr>
          <w:b w:val="0"/>
          <w:highlight w:val="none"/>
        </w:rPr>
        <w:fldChar w:fldCharType="separate"/>
      </w:r>
      <w:r>
        <w:rPr>
          <w:b w:val="0"/>
          <w:highlight w:val="none"/>
        </w:rPr>
        <w:t>4</w:t>
      </w:r>
      <w:r>
        <w:rPr>
          <w:b w:val="0"/>
          <w:highlight w:val="none"/>
        </w:rPr>
        <w:fldChar w:fldCharType="end"/>
      </w:r>
      <w:r>
        <w:rPr>
          <w:b w:val="0"/>
          <w:highlight w:val="none"/>
        </w:rPr>
        <w:fldChar w:fldCharType="end"/>
      </w:r>
    </w:p>
    <w:p w14:paraId="73C11A3B">
      <w:pPr>
        <w:pStyle w:val="11"/>
        <w:tabs>
          <w:tab w:val="right" w:leader="dot" w:pos="8296"/>
        </w:tabs>
        <w:rPr>
          <w:kern w:val="2"/>
          <w:sz w:val="28"/>
          <w:szCs w:val="32"/>
          <w:highlight w:val="none"/>
        </w:rPr>
      </w:pPr>
      <w:r>
        <w:rPr>
          <w:highlight w:val="none"/>
        </w:rPr>
        <w:fldChar w:fldCharType="begin"/>
      </w:r>
      <w:r>
        <w:rPr>
          <w:highlight w:val="none"/>
        </w:rPr>
        <w:instrText xml:space="preserve"> HYPERLINK \l "_Toc165999525" </w:instrText>
      </w:r>
      <w:r>
        <w:rPr>
          <w:highlight w:val="none"/>
        </w:rPr>
        <w:fldChar w:fldCharType="separate"/>
      </w:r>
      <w:r>
        <w:rPr>
          <w:rStyle w:val="15"/>
          <w:rFonts w:hint="eastAsia" w:ascii="楷体_GB2312" w:eastAsia="楷体_GB2312"/>
          <w:sz w:val="28"/>
          <w:szCs w:val="32"/>
          <w:highlight w:val="none"/>
        </w:rPr>
        <w:t>（一）项目决策情况</w:t>
      </w:r>
      <w:r>
        <w:rPr>
          <w:sz w:val="28"/>
          <w:szCs w:val="32"/>
          <w:highlight w:val="none"/>
        </w:rPr>
        <w:tab/>
      </w:r>
      <w:r>
        <w:rPr>
          <w:sz w:val="28"/>
          <w:szCs w:val="32"/>
          <w:highlight w:val="none"/>
        </w:rPr>
        <w:fldChar w:fldCharType="begin"/>
      </w:r>
      <w:r>
        <w:rPr>
          <w:sz w:val="28"/>
          <w:szCs w:val="32"/>
          <w:highlight w:val="none"/>
        </w:rPr>
        <w:instrText xml:space="preserve"> PAGEREF _Toc165999525 \h </w:instrText>
      </w:r>
      <w:r>
        <w:rPr>
          <w:sz w:val="28"/>
          <w:szCs w:val="32"/>
          <w:highlight w:val="none"/>
        </w:rPr>
        <w:fldChar w:fldCharType="separate"/>
      </w:r>
      <w:r>
        <w:rPr>
          <w:sz w:val="28"/>
          <w:szCs w:val="32"/>
          <w:highlight w:val="none"/>
        </w:rPr>
        <w:t>4</w:t>
      </w:r>
      <w:r>
        <w:rPr>
          <w:sz w:val="28"/>
          <w:szCs w:val="32"/>
          <w:highlight w:val="none"/>
        </w:rPr>
        <w:fldChar w:fldCharType="end"/>
      </w:r>
      <w:r>
        <w:rPr>
          <w:sz w:val="28"/>
          <w:szCs w:val="32"/>
          <w:highlight w:val="none"/>
        </w:rPr>
        <w:fldChar w:fldCharType="end"/>
      </w:r>
    </w:p>
    <w:p w14:paraId="005B4930">
      <w:pPr>
        <w:pStyle w:val="11"/>
        <w:tabs>
          <w:tab w:val="right" w:leader="dot" w:pos="8296"/>
        </w:tabs>
        <w:rPr>
          <w:kern w:val="2"/>
          <w:sz w:val="28"/>
          <w:szCs w:val="32"/>
          <w:highlight w:val="none"/>
        </w:rPr>
      </w:pPr>
      <w:r>
        <w:rPr>
          <w:highlight w:val="none"/>
        </w:rPr>
        <w:fldChar w:fldCharType="begin"/>
      </w:r>
      <w:r>
        <w:rPr>
          <w:highlight w:val="none"/>
        </w:rPr>
        <w:instrText xml:space="preserve"> HYPERLINK \l "_Toc165999526" </w:instrText>
      </w:r>
      <w:r>
        <w:rPr>
          <w:highlight w:val="none"/>
        </w:rPr>
        <w:fldChar w:fldCharType="separate"/>
      </w:r>
      <w:r>
        <w:rPr>
          <w:rStyle w:val="15"/>
          <w:rFonts w:hint="eastAsia" w:ascii="楷体_GB2312" w:eastAsia="楷体_GB2312"/>
          <w:sz w:val="28"/>
          <w:szCs w:val="32"/>
          <w:highlight w:val="none"/>
        </w:rPr>
        <w:t>（二）项目过程情况</w:t>
      </w:r>
      <w:r>
        <w:rPr>
          <w:sz w:val="28"/>
          <w:szCs w:val="32"/>
          <w:highlight w:val="none"/>
        </w:rPr>
        <w:tab/>
      </w:r>
      <w:r>
        <w:rPr>
          <w:sz w:val="28"/>
          <w:szCs w:val="32"/>
          <w:highlight w:val="none"/>
        </w:rPr>
        <w:fldChar w:fldCharType="begin"/>
      </w:r>
      <w:r>
        <w:rPr>
          <w:sz w:val="28"/>
          <w:szCs w:val="32"/>
          <w:highlight w:val="none"/>
        </w:rPr>
        <w:instrText xml:space="preserve"> PAGEREF _Toc165999526 \h </w:instrText>
      </w:r>
      <w:r>
        <w:rPr>
          <w:sz w:val="28"/>
          <w:szCs w:val="32"/>
          <w:highlight w:val="none"/>
        </w:rPr>
        <w:fldChar w:fldCharType="separate"/>
      </w:r>
      <w:r>
        <w:rPr>
          <w:sz w:val="28"/>
          <w:szCs w:val="32"/>
          <w:highlight w:val="none"/>
        </w:rPr>
        <w:t>5</w:t>
      </w:r>
      <w:r>
        <w:rPr>
          <w:sz w:val="28"/>
          <w:szCs w:val="32"/>
          <w:highlight w:val="none"/>
        </w:rPr>
        <w:fldChar w:fldCharType="end"/>
      </w:r>
      <w:r>
        <w:rPr>
          <w:sz w:val="28"/>
          <w:szCs w:val="32"/>
          <w:highlight w:val="none"/>
        </w:rPr>
        <w:fldChar w:fldCharType="end"/>
      </w:r>
    </w:p>
    <w:p w14:paraId="2B098276">
      <w:pPr>
        <w:pStyle w:val="11"/>
        <w:tabs>
          <w:tab w:val="right" w:leader="dot" w:pos="8296"/>
        </w:tabs>
        <w:rPr>
          <w:kern w:val="2"/>
          <w:sz w:val="28"/>
          <w:szCs w:val="32"/>
          <w:highlight w:val="none"/>
        </w:rPr>
      </w:pPr>
      <w:r>
        <w:rPr>
          <w:highlight w:val="none"/>
        </w:rPr>
        <w:fldChar w:fldCharType="begin"/>
      </w:r>
      <w:r>
        <w:rPr>
          <w:highlight w:val="none"/>
        </w:rPr>
        <w:instrText xml:space="preserve"> HYPERLINK \l "_Toc165999527" </w:instrText>
      </w:r>
      <w:r>
        <w:rPr>
          <w:highlight w:val="none"/>
        </w:rPr>
        <w:fldChar w:fldCharType="separate"/>
      </w:r>
      <w:r>
        <w:rPr>
          <w:rStyle w:val="15"/>
          <w:rFonts w:hint="eastAsia" w:ascii="楷体_GB2312" w:eastAsia="楷体_GB2312"/>
          <w:sz w:val="28"/>
          <w:szCs w:val="32"/>
          <w:highlight w:val="none"/>
        </w:rPr>
        <w:t>（三）项目产出情况</w:t>
      </w:r>
      <w:r>
        <w:rPr>
          <w:sz w:val="28"/>
          <w:szCs w:val="32"/>
          <w:highlight w:val="none"/>
        </w:rPr>
        <w:tab/>
      </w:r>
      <w:r>
        <w:rPr>
          <w:sz w:val="28"/>
          <w:szCs w:val="32"/>
          <w:highlight w:val="none"/>
        </w:rPr>
        <w:fldChar w:fldCharType="begin"/>
      </w:r>
      <w:r>
        <w:rPr>
          <w:sz w:val="28"/>
          <w:szCs w:val="32"/>
          <w:highlight w:val="none"/>
        </w:rPr>
        <w:instrText xml:space="preserve"> PAGEREF _Toc165999527 \h </w:instrText>
      </w:r>
      <w:r>
        <w:rPr>
          <w:sz w:val="28"/>
          <w:szCs w:val="32"/>
          <w:highlight w:val="none"/>
        </w:rPr>
        <w:fldChar w:fldCharType="separate"/>
      </w:r>
      <w:r>
        <w:rPr>
          <w:sz w:val="28"/>
          <w:szCs w:val="32"/>
          <w:highlight w:val="none"/>
        </w:rPr>
        <w:t>5</w:t>
      </w:r>
      <w:r>
        <w:rPr>
          <w:sz w:val="28"/>
          <w:szCs w:val="32"/>
          <w:highlight w:val="none"/>
        </w:rPr>
        <w:fldChar w:fldCharType="end"/>
      </w:r>
      <w:r>
        <w:rPr>
          <w:sz w:val="28"/>
          <w:szCs w:val="32"/>
          <w:highlight w:val="none"/>
        </w:rPr>
        <w:fldChar w:fldCharType="end"/>
      </w:r>
    </w:p>
    <w:p w14:paraId="7C43F3AC">
      <w:pPr>
        <w:pStyle w:val="11"/>
        <w:tabs>
          <w:tab w:val="right" w:leader="dot" w:pos="8296"/>
        </w:tabs>
        <w:rPr>
          <w:kern w:val="2"/>
          <w:sz w:val="28"/>
          <w:szCs w:val="32"/>
          <w:highlight w:val="none"/>
        </w:rPr>
      </w:pPr>
      <w:r>
        <w:rPr>
          <w:highlight w:val="none"/>
        </w:rPr>
        <w:fldChar w:fldCharType="begin"/>
      </w:r>
      <w:r>
        <w:rPr>
          <w:highlight w:val="none"/>
        </w:rPr>
        <w:instrText xml:space="preserve"> HYPERLINK \l "_Toc165999528" </w:instrText>
      </w:r>
      <w:r>
        <w:rPr>
          <w:highlight w:val="none"/>
        </w:rPr>
        <w:fldChar w:fldCharType="separate"/>
      </w:r>
      <w:r>
        <w:rPr>
          <w:rStyle w:val="15"/>
          <w:rFonts w:hint="eastAsia" w:ascii="楷体_GB2312" w:eastAsia="楷体_GB2312"/>
          <w:sz w:val="28"/>
          <w:szCs w:val="32"/>
          <w:highlight w:val="none"/>
        </w:rPr>
        <w:t>（四）项目效益情况</w:t>
      </w:r>
      <w:r>
        <w:rPr>
          <w:sz w:val="28"/>
          <w:szCs w:val="32"/>
          <w:highlight w:val="none"/>
        </w:rPr>
        <w:tab/>
      </w:r>
      <w:r>
        <w:rPr>
          <w:sz w:val="28"/>
          <w:szCs w:val="32"/>
          <w:highlight w:val="none"/>
        </w:rPr>
        <w:fldChar w:fldCharType="begin"/>
      </w:r>
      <w:r>
        <w:rPr>
          <w:sz w:val="28"/>
          <w:szCs w:val="32"/>
          <w:highlight w:val="none"/>
        </w:rPr>
        <w:instrText xml:space="preserve"> PAGEREF _Toc165999528 \h </w:instrText>
      </w:r>
      <w:r>
        <w:rPr>
          <w:sz w:val="28"/>
          <w:szCs w:val="32"/>
          <w:highlight w:val="none"/>
        </w:rPr>
        <w:fldChar w:fldCharType="separate"/>
      </w:r>
      <w:r>
        <w:rPr>
          <w:sz w:val="28"/>
          <w:szCs w:val="32"/>
          <w:highlight w:val="none"/>
        </w:rPr>
        <w:t>6</w:t>
      </w:r>
      <w:r>
        <w:rPr>
          <w:sz w:val="28"/>
          <w:szCs w:val="32"/>
          <w:highlight w:val="none"/>
        </w:rPr>
        <w:fldChar w:fldCharType="end"/>
      </w:r>
      <w:r>
        <w:rPr>
          <w:sz w:val="28"/>
          <w:szCs w:val="32"/>
          <w:highlight w:val="none"/>
        </w:rPr>
        <w:fldChar w:fldCharType="end"/>
      </w:r>
    </w:p>
    <w:p w14:paraId="3E62D1DE">
      <w:pPr>
        <w:pStyle w:val="10"/>
        <w:rPr>
          <w:b w:val="0"/>
          <w:kern w:val="2"/>
          <w:highlight w:val="none"/>
        </w:rPr>
      </w:pPr>
      <w:r>
        <w:rPr>
          <w:highlight w:val="none"/>
        </w:rPr>
        <w:fldChar w:fldCharType="begin"/>
      </w:r>
      <w:r>
        <w:rPr>
          <w:highlight w:val="none"/>
        </w:rPr>
        <w:instrText xml:space="preserve"> HYPERLINK \l "_Toc165999529" </w:instrText>
      </w:r>
      <w:r>
        <w:rPr>
          <w:highlight w:val="none"/>
        </w:rPr>
        <w:fldChar w:fldCharType="separate"/>
      </w:r>
      <w:r>
        <w:rPr>
          <w:rStyle w:val="15"/>
          <w:rFonts w:hint="eastAsia" w:ascii="黑体" w:hAnsi="黑体" w:eastAsia="黑体"/>
          <w:b w:val="0"/>
          <w:sz w:val="28"/>
          <w:szCs w:val="32"/>
          <w:highlight w:val="none"/>
        </w:rPr>
        <w:t>五、主要经验及做法、存在的问题及原因分析</w:t>
      </w:r>
      <w:r>
        <w:rPr>
          <w:b w:val="0"/>
          <w:highlight w:val="none"/>
        </w:rPr>
        <w:tab/>
      </w:r>
      <w:r>
        <w:rPr>
          <w:b w:val="0"/>
          <w:highlight w:val="none"/>
        </w:rPr>
        <w:fldChar w:fldCharType="begin"/>
      </w:r>
      <w:r>
        <w:rPr>
          <w:b w:val="0"/>
          <w:highlight w:val="none"/>
        </w:rPr>
        <w:instrText xml:space="preserve"> PAGEREF _Toc165999529 \h </w:instrText>
      </w:r>
      <w:r>
        <w:rPr>
          <w:b w:val="0"/>
          <w:highlight w:val="none"/>
        </w:rPr>
        <w:fldChar w:fldCharType="separate"/>
      </w:r>
      <w:r>
        <w:rPr>
          <w:b w:val="0"/>
          <w:highlight w:val="none"/>
        </w:rPr>
        <w:t>7</w:t>
      </w:r>
      <w:r>
        <w:rPr>
          <w:b w:val="0"/>
          <w:highlight w:val="none"/>
        </w:rPr>
        <w:fldChar w:fldCharType="end"/>
      </w:r>
      <w:r>
        <w:rPr>
          <w:b w:val="0"/>
          <w:highlight w:val="none"/>
        </w:rPr>
        <w:fldChar w:fldCharType="end"/>
      </w:r>
    </w:p>
    <w:p w14:paraId="584FADCB">
      <w:pPr>
        <w:pStyle w:val="10"/>
        <w:rPr>
          <w:b w:val="0"/>
          <w:kern w:val="2"/>
          <w:highlight w:val="none"/>
        </w:rPr>
      </w:pPr>
      <w:r>
        <w:rPr>
          <w:highlight w:val="none"/>
        </w:rPr>
        <w:fldChar w:fldCharType="begin"/>
      </w:r>
      <w:r>
        <w:rPr>
          <w:highlight w:val="none"/>
        </w:rPr>
        <w:instrText xml:space="preserve"> HYPERLINK \l "_Toc165999530" </w:instrText>
      </w:r>
      <w:r>
        <w:rPr>
          <w:highlight w:val="none"/>
        </w:rPr>
        <w:fldChar w:fldCharType="separate"/>
      </w:r>
      <w:r>
        <w:rPr>
          <w:rStyle w:val="15"/>
          <w:rFonts w:hint="eastAsia" w:ascii="黑体" w:hAnsi="黑体" w:eastAsia="黑体"/>
          <w:b w:val="0"/>
          <w:sz w:val="28"/>
          <w:szCs w:val="32"/>
          <w:highlight w:val="none"/>
        </w:rPr>
        <w:t>六、有关建议</w:t>
      </w:r>
      <w:r>
        <w:rPr>
          <w:b w:val="0"/>
          <w:highlight w:val="none"/>
        </w:rPr>
        <w:tab/>
      </w:r>
      <w:r>
        <w:rPr>
          <w:b w:val="0"/>
          <w:highlight w:val="none"/>
        </w:rPr>
        <w:fldChar w:fldCharType="begin"/>
      </w:r>
      <w:r>
        <w:rPr>
          <w:b w:val="0"/>
          <w:highlight w:val="none"/>
        </w:rPr>
        <w:instrText xml:space="preserve"> PAGEREF _Toc165999530 \h </w:instrText>
      </w:r>
      <w:r>
        <w:rPr>
          <w:b w:val="0"/>
          <w:highlight w:val="none"/>
        </w:rPr>
        <w:fldChar w:fldCharType="separate"/>
      </w:r>
      <w:r>
        <w:rPr>
          <w:b w:val="0"/>
          <w:highlight w:val="none"/>
        </w:rPr>
        <w:t>7</w:t>
      </w:r>
      <w:r>
        <w:rPr>
          <w:b w:val="0"/>
          <w:highlight w:val="none"/>
        </w:rPr>
        <w:fldChar w:fldCharType="end"/>
      </w:r>
      <w:r>
        <w:rPr>
          <w:b w:val="0"/>
          <w:highlight w:val="none"/>
        </w:rPr>
        <w:fldChar w:fldCharType="end"/>
      </w:r>
    </w:p>
    <w:p w14:paraId="3F77DEC8">
      <w:pPr>
        <w:pStyle w:val="10"/>
        <w:rPr>
          <w:kern w:val="2"/>
          <w:highlight w:val="none"/>
        </w:rPr>
      </w:pPr>
      <w:r>
        <w:rPr>
          <w:highlight w:val="none"/>
        </w:rPr>
        <w:fldChar w:fldCharType="begin"/>
      </w:r>
      <w:r>
        <w:rPr>
          <w:highlight w:val="none"/>
        </w:rPr>
        <w:instrText xml:space="preserve"> HYPERLINK \l "_Toc165999531" </w:instrText>
      </w:r>
      <w:r>
        <w:rPr>
          <w:highlight w:val="none"/>
        </w:rPr>
        <w:fldChar w:fldCharType="separate"/>
      </w:r>
      <w:r>
        <w:rPr>
          <w:rStyle w:val="15"/>
          <w:rFonts w:hint="eastAsia" w:ascii="黑体" w:hAnsi="黑体" w:eastAsia="黑体"/>
          <w:b w:val="0"/>
          <w:sz w:val="28"/>
          <w:szCs w:val="32"/>
          <w:highlight w:val="none"/>
        </w:rPr>
        <w:t>七、其他需要说明的问题</w:t>
      </w:r>
      <w:r>
        <w:rPr>
          <w:b w:val="0"/>
          <w:highlight w:val="none"/>
        </w:rPr>
        <w:tab/>
      </w:r>
      <w:r>
        <w:rPr>
          <w:b w:val="0"/>
          <w:highlight w:val="none"/>
        </w:rPr>
        <w:fldChar w:fldCharType="begin"/>
      </w:r>
      <w:r>
        <w:rPr>
          <w:b w:val="0"/>
          <w:highlight w:val="none"/>
        </w:rPr>
        <w:instrText xml:space="preserve"> PAGEREF _Toc165999531 \h </w:instrText>
      </w:r>
      <w:r>
        <w:rPr>
          <w:b w:val="0"/>
          <w:highlight w:val="none"/>
        </w:rPr>
        <w:fldChar w:fldCharType="separate"/>
      </w:r>
      <w:r>
        <w:rPr>
          <w:b w:val="0"/>
          <w:highlight w:val="none"/>
        </w:rPr>
        <w:t>7</w:t>
      </w:r>
      <w:r>
        <w:rPr>
          <w:b w:val="0"/>
          <w:highlight w:val="none"/>
        </w:rPr>
        <w:fldChar w:fldCharType="end"/>
      </w:r>
      <w:r>
        <w:rPr>
          <w:b w:val="0"/>
          <w:highlight w:val="none"/>
        </w:rPr>
        <w:fldChar w:fldCharType="end"/>
      </w:r>
    </w:p>
    <w:p w14:paraId="384A0FF0">
      <w:pPr>
        <w:jc w:val="center"/>
        <w:rPr>
          <w:b/>
          <w:sz w:val="32"/>
          <w:szCs w:val="32"/>
          <w:highlight w:val="none"/>
        </w:rPr>
        <w:sectPr>
          <w:pgSz w:w="11906" w:h="16838"/>
          <w:pgMar w:top="1440" w:right="1800" w:bottom="1440" w:left="1800" w:header="851" w:footer="992" w:gutter="0"/>
          <w:pgNumType w:fmt="decimal"/>
          <w:cols w:space="425" w:num="1"/>
          <w:docGrid w:type="lines" w:linePitch="312" w:charSpace="0"/>
        </w:sectPr>
      </w:pPr>
      <w:r>
        <w:rPr>
          <w:b/>
          <w:sz w:val="28"/>
          <w:szCs w:val="32"/>
          <w:highlight w:val="none"/>
        </w:rPr>
        <w:fldChar w:fldCharType="end"/>
      </w:r>
    </w:p>
    <w:p w14:paraId="63D3D3D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sz w:val="44"/>
          <w:szCs w:val="44"/>
          <w:highlight w:val="none"/>
        </w:rPr>
      </w:pPr>
      <w:r>
        <w:rPr>
          <w:rFonts w:hint="eastAsia" w:ascii="方正小标宋简体" w:hAnsi="方正小标宋简体" w:eastAsia="方正小标宋简体" w:cs="方正小标宋简体"/>
          <w:b/>
          <w:sz w:val="44"/>
          <w:szCs w:val="44"/>
          <w:highlight w:val="none"/>
        </w:rPr>
        <w:t>202</w:t>
      </w:r>
      <w:r>
        <w:rPr>
          <w:rFonts w:hint="eastAsia" w:ascii="方正小标宋简体" w:hAnsi="方正小标宋简体" w:eastAsia="方正小标宋简体" w:cs="方正小标宋简体"/>
          <w:b/>
          <w:sz w:val="44"/>
          <w:szCs w:val="44"/>
          <w:highlight w:val="none"/>
          <w:lang w:val="en-US" w:eastAsia="zh-CN"/>
        </w:rPr>
        <w:t>4</w:t>
      </w:r>
      <w:r>
        <w:rPr>
          <w:rFonts w:hint="eastAsia" w:ascii="方正小标宋简体" w:hAnsi="方正小标宋简体" w:eastAsia="方正小标宋简体" w:cs="方正小标宋简体"/>
          <w:b/>
          <w:sz w:val="44"/>
          <w:szCs w:val="44"/>
          <w:highlight w:val="none"/>
        </w:rPr>
        <w:t>年度市级劳模春节慰问金项目支出</w:t>
      </w:r>
    </w:p>
    <w:p w14:paraId="0013171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sz w:val="44"/>
          <w:szCs w:val="44"/>
          <w:highlight w:val="none"/>
        </w:rPr>
      </w:pPr>
      <w:r>
        <w:rPr>
          <w:rFonts w:hint="eastAsia" w:ascii="方正小标宋简体" w:hAnsi="方正小标宋简体" w:eastAsia="方正小标宋简体" w:cs="方正小标宋简体"/>
          <w:b/>
          <w:sz w:val="44"/>
          <w:szCs w:val="44"/>
          <w:highlight w:val="none"/>
        </w:rPr>
        <w:t>绩效</w:t>
      </w:r>
      <w:r>
        <w:rPr>
          <w:rFonts w:hint="eastAsia" w:ascii="方正小标宋简体" w:hAnsi="方正小标宋简体" w:eastAsia="方正小标宋简体" w:cs="方正小标宋简体"/>
          <w:b/>
          <w:sz w:val="44"/>
          <w:szCs w:val="44"/>
          <w:highlight w:val="none"/>
          <w:lang w:eastAsia="zh-CN"/>
        </w:rPr>
        <w:t>评价</w:t>
      </w:r>
      <w:r>
        <w:rPr>
          <w:rFonts w:hint="eastAsia" w:ascii="方正小标宋简体" w:hAnsi="方正小标宋简体" w:eastAsia="方正小标宋简体" w:cs="方正小标宋简体"/>
          <w:b/>
          <w:sz w:val="44"/>
          <w:szCs w:val="44"/>
          <w:highlight w:val="none"/>
        </w:rPr>
        <w:t>报告</w:t>
      </w:r>
    </w:p>
    <w:p w14:paraId="14853362">
      <w:pPr>
        <w:pStyle w:val="2"/>
        <w:pageBreakBefore w:val="0"/>
        <w:kinsoku/>
        <w:wordWrap/>
        <w:overflowPunct/>
        <w:topLinePunct w:val="0"/>
        <w:autoSpaceDE/>
        <w:autoSpaceDN/>
        <w:bidi w:val="0"/>
        <w:adjustRightInd/>
        <w:snapToGrid/>
        <w:spacing w:before="0" w:after="0" w:line="560" w:lineRule="exact"/>
        <w:textAlignment w:val="auto"/>
        <w:rPr>
          <w:rFonts w:hint="eastAsia" w:ascii="黑体" w:hAnsi="黑体" w:eastAsia="黑体"/>
          <w:b w:val="0"/>
          <w:sz w:val="32"/>
          <w:szCs w:val="32"/>
          <w:highlight w:val="none"/>
        </w:rPr>
      </w:pPr>
      <w:bookmarkStart w:id="0" w:name="_Toc165999514"/>
    </w:p>
    <w:p w14:paraId="73298744">
      <w:pPr>
        <w:pStyle w:val="2"/>
        <w:pageBreakBefore w:val="0"/>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b w:val="0"/>
          <w:sz w:val="32"/>
          <w:szCs w:val="32"/>
          <w:highlight w:val="none"/>
        </w:rPr>
      </w:pPr>
      <w:r>
        <w:rPr>
          <w:rFonts w:hint="eastAsia" w:ascii="黑体" w:hAnsi="黑体" w:eastAsia="黑体"/>
          <w:b w:val="0"/>
          <w:sz w:val="32"/>
          <w:szCs w:val="32"/>
          <w:highlight w:val="none"/>
        </w:rPr>
        <w:t>一、基本情况</w:t>
      </w:r>
      <w:bookmarkEnd w:id="0"/>
    </w:p>
    <w:p w14:paraId="22F078C2">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楷体_GB2312" w:eastAsia="楷体_GB2312"/>
          <w:highlight w:val="none"/>
        </w:rPr>
      </w:pPr>
      <w:bookmarkStart w:id="1" w:name="_Toc165999515"/>
      <w:r>
        <w:rPr>
          <w:rFonts w:hint="eastAsia" w:ascii="楷体_GB2312" w:eastAsia="楷体_GB2312"/>
          <w:highlight w:val="none"/>
        </w:rPr>
        <w:t>（一）项目概况</w:t>
      </w:r>
      <w:bookmarkEnd w:id="1"/>
    </w:p>
    <w:p w14:paraId="3AD37FE6">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1.项目背景</w:t>
      </w:r>
    </w:p>
    <w:p w14:paraId="12498482">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南昌市人民政府办公厅《关于印发市政府与市总工会第3次联席会议纪要的通知》精神，同意自2010年起，市政府按每人每年200元的标准，向市级劳模发放春节慰问金。根据南昌市人民政府办公厅《关于印发市政府与市总工会第7次联席座谈会议纪要的通知》精神，同意自2015年起，将我市市级劳模春节慰问金从每年200元/人提高到每年500元/人，所需经费由市财政负担。</w:t>
      </w:r>
    </w:p>
    <w:p w14:paraId="43AB35DD">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2.项目主要内容和实施情况</w:t>
      </w:r>
    </w:p>
    <w:p w14:paraId="3199EA40">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市级劳模春节慰问金慰问项目是针对南昌市人民政府授予劳模称号的人员且于202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年底前在基层工会重新登记并经核准列入管理健在的市级劳模，在202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年2月底前向他们发放500元/人的春节慰问金。</w:t>
      </w:r>
    </w:p>
    <w:p w14:paraId="3CB2C041">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3.资金投入和使用情况</w:t>
      </w:r>
    </w:p>
    <w:p w14:paraId="3E6BC7C9">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hAnsi="仿宋_GB2312" w:eastAsia="仿宋_GB2312" w:cs="仿宋_GB2312"/>
          <w:sz w:val="32"/>
          <w:szCs w:val="32"/>
          <w:highlight w:val="none"/>
        </w:rPr>
        <w:t>资金支出严格按照南昌市总工会财务管理规定执行，责任明晰，权责分离。202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年度市级劳模春节慰问金项目预算1</w:t>
      </w:r>
      <w:r>
        <w:rPr>
          <w:rFonts w:hint="eastAsia" w:ascii="仿宋_GB2312" w:hAnsi="仿宋_GB2312" w:eastAsia="仿宋_GB2312" w:cs="仿宋_GB2312"/>
          <w:sz w:val="32"/>
          <w:szCs w:val="32"/>
          <w:highlight w:val="none"/>
          <w:lang w:val="en-US" w:eastAsia="zh-CN"/>
        </w:rPr>
        <w:t>69.85</w:t>
      </w:r>
      <w:r>
        <w:rPr>
          <w:rFonts w:hint="eastAsia" w:ascii="仿宋_GB2312" w:hAnsi="仿宋_GB2312" w:eastAsia="仿宋_GB2312" w:cs="仿宋_GB2312"/>
          <w:sz w:val="32"/>
          <w:szCs w:val="32"/>
          <w:highlight w:val="none"/>
        </w:rPr>
        <w:t>万元，实际支出</w:t>
      </w:r>
      <w:r>
        <w:rPr>
          <w:rFonts w:hint="eastAsia" w:ascii="仿宋_GB2312" w:hAnsi="仿宋_GB2312" w:eastAsia="仿宋_GB2312" w:cs="仿宋_GB2312"/>
          <w:sz w:val="32"/>
          <w:szCs w:val="32"/>
          <w:highlight w:val="none"/>
          <w:lang w:val="en-US" w:eastAsia="zh-CN"/>
        </w:rPr>
        <w:t>169.6</w:t>
      </w:r>
      <w:r>
        <w:rPr>
          <w:rFonts w:hint="eastAsia" w:ascii="仿宋_GB2312" w:hAnsi="仿宋_GB2312" w:eastAsia="仿宋_GB2312" w:cs="仿宋_GB2312"/>
          <w:sz w:val="32"/>
          <w:szCs w:val="32"/>
          <w:highlight w:val="none"/>
        </w:rPr>
        <w:t>万元，预算执行率99.</w:t>
      </w:r>
      <w:r>
        <w:rPr>
          <w:rFonts w:hint="eastAsia" w:ascii="仿宋_GB2312" w:hAnsi="仿宋_GB2312" w:eastAsia="仿宋_GB2312" w:cs="仿宋_GB2312"/>
          <w:sz w:val="32"/>
          <w:szCs w:val="32"/>
          <w:highlight w:val="none"/>
          <w:lang w:val="en-US" w:eastAsia="zh-CN"/>
        </w:rPr>
        <w:t>85</w:t>
      </w:r>
      <w:r>
        <w:rPr>
          <w:rFonts w:hint="eastAsia" w:ascii="仿宋_GB2312" w:hAnsi="仿宋_GB2312" w:eastAsia="仿宋_GB2312" w:cs="仿宋_GB2312"/>
          <w:sz w:val="32"/>
          <w:szCs w:val="32"/>
          <w:highlight w:val="none"/>
        </w:rPr>
        <w:t>%。</w:t>
      </w:r>
    </w:p>
    <w:p w14:paraId="1D3F9C23">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楷体_GB2312" w:eastAsia="楷体_GB2312"/>
          <w:highlight w:val="none"/>
        </w:rPr>
      </w:pPr>
      <w:bookmarkStart w:id="2" w:name="_Toc165999516"/>
      <w:r>
        <w:rPr>
          <w:rFonts w:hint="eastAsia" w:ascii="楷体_GB2312" w:eastAsia="楷体_GB2312"/>
          <w:highlight w:val="none"/>
        </w:rPr>
        <w:t>（二）项目绩效目标</w:t>
      </w:r>
      <w:bookmarkEnd w:id="2"/>
    </w:p>
    <w:p w14:paraId="5CEA59AC">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1.项目总体目标</w:t>
      </w:r>
    </w:p>
    <w:p w14:paraId="76563099">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体现党和政府及工会组织对广大劳动模范的关心和爱护，激发广大劳模及先进人物荣誉感，在全社会营造劳动最光荣、劳动最伟大、劳动最美丽的氛围。</w:t>
      </w:r>
    </w:p>
    <w:p w14:paraId="763DC423">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2.项目阶段性目标</w:t>
      </w:r>
    </w:p>
    <w:p w14:paraId="60F1B694">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仿宋_GB2312" w:hAnsi="仿宋_GB2312" w:eastAsia="仿宋_GB2312" w:cs="仿宋_GB2312"/>
          <w:sz w:val="32"/>
          <w:szCs w:val="32"/>
          <w:highlight w:val="none"/>
        </w:rPr>
        <w:t>让南昌市市级劳模享受春节慰问金待遇。</w:t>
      </w:r>
    </w:p>
    <w:p w14:paraId="2635792F">
      <w:pPr>
        <w:pStyle w:val="2"/>
        <w:pageBreakBefore w:val="0"/>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b w:val="0"/>
          <w:sz w:val="32"/>
          <w:szCs w:val="32"/>
          <w:highlight w:val="none"/>
        </w:rPr>
      </w:pPr>
      <w:bookmarkStart w:id="3" w:name="_Toc165999517"/>
      <w:r>
        <w:rPr>
          <w:rFonts w:hint="eastAsia" w:ascii="黑体" w:hAnsi="黑体" w:eastAsia="黑体"/>
          <w:b w:val="0"/>
          <w:sz w:val="32"/>
          <w:szCs w:val="32"/>
          <w:highlight w:val="none"/>
        </w:rPr>
        <w:t>二、绩效评价工作开展情况</w:t>
      </w:r>
      <w:bookmarkEnd w:id="3"/>
    </w:p>
    <w:p w14:paraId="789AB6C8">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楷体_GB2312" w:eastAsia="楷体_GB2312"/>
          <w:highlight w:val="none"/>
        </w:rPr>
      </w:pPr>
      <w:bookmarkStart w:id="4" w:name="_Toc165999518"/>
      <w:r>
        <w:rPr>
          <w:rFonts w:hint="eastAsia" w:ascii="楷体_GB2312" w:eastAsia="楷体_GB2312"/>
          <w:highlight w:val="none"/>
        </w:rPr>
        <w:t>（一）绩效评价的目的、对象和范围</w:t>
      </w:r>
      <w:bookmarkEnd w:id="4"/>
    </w:p>
    <w:p w14:paraId="32D89D2A">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1.绩效评价的目的</w:t>
      </w:r>
    </w:p>
    <w:p w14:paraId="6D39F50E">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通过对市级劳模春节慰问金项目的绩效评价，进一步提高财政资金使用效益，合理分配财政资金。通过项目资金绩效自评，全面、客观地反映南昌市总工会“市级劳模春节慰问金”项目专项工作执行情况，综合评价专项资金支出效率和效果，同时总结经验，分析存在的问题及原因，提出对策建议。</w:t>
      </w:r>
    </w:p>
    <w:p w14:paraId="4F7913A9">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2.绩效评价对象和范围</w:t>
      </w:r>
    </w:p>
    <w:p w14:paraId="784866C1">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仿宋_GB2312" w:hAnsi="仿宋_GB2312" w:eastAsia="仿宋_GB2312" w:cs="仿宋_GB2312"/>
          <w:sz w:val="32"/>
          <w:szCs w:val="32"/>
          <w:highlight w:val="none"/>
          <w:lang w:eastAsia="zh-Hans"/>
        </w:rPr>
        <w:t>自</w:t>
      </w:r>
      <w:r>
        <w:rPr>
          <w:rFonts w:hint="eastAsia" w:ascii="仿宋_GB2312" w:hAnsi="仿宋_GB2312" w:eastAsia="仿宋_GB2312" w:cs="仿宋_GB2312"/>
          <w:sz w:val="32"/>
          <w:szCs w:val="32"/>
          <w:highlight w:val="none"/>
        </w:rPr>
        <w:t>评</w:t>
      </w:r>
      <w:r>
        <w:rPr>
          <w:rFonts w:hint="eastAsia" w:ascii="仿宋_GB2312" w:hAnsi="仿宋_GB2312" w:eastAsia="仿宋_GB2312" w:cs="仿宋_GB2312"/>
          <w:sz w:val="32"/>
          <w:szCs w:val="32"/>
          <w:highlight w:val="none"/>
          <w:lang w:eastAsia="zh-Hans"/>
        </w:rPr>
        <w:t>小</w:t>
      </w:r>
      <w:r>
        <w:rPr>
          <w:rFonts w:hint="eastAsia" w:ascii="仿宋_GB2312" w:hAnsi="仿宋_GB2312" w:eastAsia="仿宋_GB2312" w:cs="仿宋_GB2312"/>
          <w:sz w:val="32"/>
          <w:szCs w:val="32"/>
          <w:highlight w:val="none"/>
        </w:rPr>
        <w:t>组查阅了南昌市总工会关于</w:t>
      </w:r>
      <w:r>
        <w:rPr>
          <w:rFonts w:ascii="仿宋_GB2312" w:hAnsi="仿宋_GB2312" w:eastAsia="仿宋_GB2312" w:cs="仿宋_GB2312"/>
          <w:sz w:val="32"/>
          <w:szCs w:val="32"/>
          <w:highlight w:val="none"/>
        </w:rPr>
        <w:t>市级劳模春节慰问</w:t>
      </w:r>
      <w:r>
        <w:rPr>
          <w:rFonts w:hint="eastAsia" w:ascii="仿宋_GB2312" w:hAnsi="仿宋_GB2312" w:eastAsia="仿宋_GB2312" w:cs="仿宋_GB2312"/>
          <w:sz w:val="32"/>
          <w:szCs w:val="32"/>
          <w:highlight w:val="none"/>
        </w:rPr>
        <w:t>金项目专项资金支出相关立项、资金到位及业务管理和财务管理相关资料。</w:t>
      </w:r>
    </w:p>
    <w:p w14:paraId="720BFD36">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楷体_GB2312" w:eastAsia="楷体_GB2312"/>
          <w:highlight w:val="none"/>
        </w:rPr>
      </w:pPr>
      <w:bookmarkStart w:id="5" w:name="_Toc165999519"/>
      <w:r>
        <w:rPr>
          <w:rFonts w:hint="eastAsia" w:ascii="楷体_GB2312" w:eastAsia="楷体_GB2312"/>
          <w:highlight w:val="none"/>
        </w:rPr>
        <w:t>（二）评价方法和指标体系</w:t>
      </w:r>
      <w:bookmarkEnd w:id="5"/>
    </w:p>
    <w:p w14:paraId="634EEF3B">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1.绩效评价的原则</w:t>
      </w:r>
    </w:p>
    <w:p w14:paraId="0417B217">
      <w:pPr>
        <w:pStyle w:val="4"/>
        <w:pageBreakBefore w:val="0"/>
        <w:kinsoku/>
        <w:wordWrap/>
        <w:overflowPunct/>
        <w:topLinePunct w:val="0"/>
        <w:autoSpaceDE/>
        <w:autoSpaceDN/>
        <w:bidi w:val="0"/>
        <w:adjustRightInd/>
        <w:snapToGrid/>
        <w:spacing w:line="560" w:lineRule="exact"/>
        <w:ind w:firstLine="640" w:firstLineChars="200"/>
        <w:textAlignment w:val="auto"/>
        <w:rPr>
          <w:rFonts w:hAnsi="仿宋_GB2312" w:eastAsia="仿宋_GB2312" w:cs="仿宋_GB2312"/>
          <w:sz w:val="32"/>
          <w:szCs w:val="32"/>
          <w:highlight w:val="none"/>
          <w:lang w:eastAsia="zh-Hans"/>
        </w:rPr>
      </w:pPr>
      <w:r>
        <w:rPr>
          <w:rFonts w:hint="eastAsia" w:hAnsi="仿宋_GB2312" w:eastAsia="仿宋_GB2312" w:cs="仿宋_GB2312"/>
          <w:sz w:val="32"/>
          <w:szCs w:val="32"/>
          <w:highlight w:val="none"/>
          <w:lang w:eastAsia="zh-Hans"/>
        </w:rPr>
        <w:t>（1）科学公正。绩效评价应当运用科学合理的方法，按照规范的程序，对项目绩效进行客观、公正的反映。</w:t>
      </w:r>
    </w:p>
    <w:p w14:paraId="11510DE1">
      <w:pPr>
        <w:pStyle w:val="4"/>
        <w:pageBreakBefore w:val="0"/>
        <w:kinsoku/>
        <w:wordWrap/>
        <w:overflowPunct/>
        <w:topLinePunct w:val="0"/>
        <w:autoSpaceDE/>
        <w:autoSpaceDN/>
        <w:bidi w:val="0"/>
        <w:adjustRightInd/>
        <w:snapToGrid/>
        <w:spacing w:line="560" w:lineRule="exact"/>
        <w:ind w:firstLine="640" w:firstLineChars="200"/>
        <w:textAlignment w:val="auto"/>
        <w:rPr>
          <w:rFonts w:hAnsi="仿宋_GB2312" w:eastAsia="仿宋_GB2312" w:cs="仿宋_GB2312"/>
          <w:sz w:val="32"/>
          <w:szCs w:val="32"/>
          <w:highlight w:val="none"/>
          <w:lang w:eastAsia="zh-Hans"/>
        </w:rPr>
      </w:pPr>
      <w:r>
        <w:rPr>
          <w:rFonts w:hint="eastAsia" w:hAnsi="仿宋_GB2312" w:eastAsia="仿宋_GB2312" w:cs="仿宋_GB2312"/>
          <w:sz w:val="32"/>
          <w:szCs w:val="32"/>
          <w:highlight w:val="none"/>
          <w:lang w:eastAsia="zh-Hans"/>
        </w:rPr>
        <w:t>（2）统筹兼顾。单位自评、部门评价和财政评价应职责明确，各有侧重，相互衔接。单位自评应由项目单位自主实施，即“谁支出、谁自评”。部门评价和财政评价应在单位自评的基础上开展，必要时可委托第三方机构实施。</w:t>
      </w:r>
    </w:p>
    <w:p w14:paraId="0BE627C6">
      <w:pPr>
        <w:pStyle w:val="4"/>
        <w:pageBreakBefore w:val="0"/>
        <w:kinsoku/>
        <w:wordWrap/>
        <w:overflowPunct/>
        <w:topLinePunct w:val="0"/>
        <w:autoSpaceDE/>
        <w:autoSpaceDN/>
        <w:bidi w:val="0"/>
        <w:adjustRightInd/>
        <w:snapToGrid/>
        <w:spacing w:line="560" w:lineRule="exact"/>
        <w:ind w:firstLine="640" w:firstLineChars="200"/>
        <w:textAlignment w:val="auto"/>
        <w:rPr>
          <w:rFonts w:hAnsi="仿宋_GB2312" w:eastAsia="仿宋_GB2312" w:cs="仿宋_GB2312"/>
          <w:sz w:val="32"/>
          <w:szCs w:val="32"/>
          <w:highlight w:val="none"/>
          <w:lang w:eastAsia="zh-Hans"/>
        </w:rPr>
      </w:pPr>
      <w:r>
        <w:rPr>
          <w:rFonts w:hint="eastAsia" w:hAnsi="仿宋_GB2312" w:eastAsia="仿宋_GB2312" w:cs="仿宋_GB2312"/>
          <w:sz w:val="32"/>
          <w:szCs w:val="32"/>
          <w:highlight w:val="none"/>
          <w:lang w:eastAsia="zh-Hans"/>
        </w:rPr>
        <w:t>（3）激励约束。绩效评价结果应与预算安排、政策调整、改进管理实质性挂钩，体现奖优罚劣和激励相容导向，有效要安排、低效要压减、无效要问责。</w:t>
      </w:r>
    </w:p>
    <w:p w14:paraId="45952777">
      <w:pPr>
        <w:pStyle w:val="4"/>
        <w:pageBreakBefore w:val="0"/>
        <w:kinsoku/>
        <w:wordWrap/>
        <w:overflowPunct/>
        <w:topLinePunct w:val="0"/>
        <w:autoSpaceDE/>
        <w:autoSpaceDN/>
        <w:bidi w:val="0"/>
        <w:adjustRightInd/>
        <w:snapToGrid/>
        <w:spacing w:line="560" w:lineRule="exact"/>
        <w:ind w:firstLine="640" w:firstLineChars="200"/>
        <w:textAlignment w:val="auto"/>
        <w:rPr>
          <w:rFonts w:hAnsi="仿宋_GB2312" w:eastAsia="仿宋_GB2312" w:cs="仿宋_GB2312"/>
          <w:sz w:val="32"/>
          <w:szCs w:val="32"/>
          <w:highlight w:val="none"/>
        </w:rPr>
      </w:pPr>
      <w:r>
        <w:rPr>
          <w:rFonts w:hint="eastAsia" w:hAnsi="仿宋_GB2312" w:eastAsia="仿宋_GB2312" w:cs="仿宋_GB2312"/>
          <w:sz w:val="32"/>
          <w:szCs w:val="32"/>
          <w:highlight w:val="none"/>
          <w:lang w:eastAsia="zh-Hans"/>
        </w:rPr>
        <w:t>（4）公开透明。绩效评价结果应依法依规公开，并自觉接受社会监督。</w:t>
      </w:r>
    </w:p>
    <w:p w14:paraId="2D1A191A">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2.评价指标体系</w:t>
      </w:r>
    </w:p>
    <w:p w14:paraId="7A169B53">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eastAsia="仿宋_GB2312"/>
          <w:bCs/>
          <w:kern w:val="0"/>
          <w:sz w:val="32"/>
          <w:szCs w:val="32"/>
          <w:highlight w:val="none"/>
        </w:rPr>
        <w:t>本次绩效评价指标是在参考南昌市财政局关于印发《南昌市市级预算部门绩效管理暂行办法》的通知（洪财办〔2020〕41号）基础上编制，结合南昌市总工会的特点，并且遵循相关性、重要性、可比性、系统性、经济性等原则，建立“定量和定性指标相结合”指标体系框架。</w:t>
      </w:r>
    </w:p>
    <w:p w14:paraId="2453BEDE">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3.评价方法</w:t>
      </w:r>
    </w:p>
    <w:p w14:paraId="7ECDD525">
      <w:pPr>
        <w:pStyle w:val="4"/>
        <w:pageBreakBefore w:val="0"/>
        <w:kinsoku/>
        <w:wordWrap/>
        <w:overflowPunct/>
        <w:topLinePunct w:val="0"/>
        <w:autoSpaceDE/>
        <w:autoSpaceDN/>
        <w:bidi w:val="0"/>
        <w:adjustRightInd/>
        <w:snapToGrid/>
        <w:spacing w:line="560" w:lineRule="exact"/>
        <w:ind w:firstLine="640" w:firstLineChars="200"/>
        <w:textAlignment w:val="auto"/>
        <w:rPr>
          <w:rFonts w:hAnsi="仿宋_GB2312" w:eastAsia="仿宋_GB2312" w:cs="仿宋_GB2312"/>
          <w:sz w:val="32"/>
          <w:szCs w:val="32"/>
          <w:highlight w:val="none"/>
          <w:lang w:eastAsia="zh-Hans"/>
        </w:rPr>
      </w:pPr>
      <w:r>
        <w:rPr>
          <w:rFonts w:hint="eastAsia" w:hAnsi="仿宋_GB2312" w:eastAsia="仿宋_GB2312" w:cs="仿宋_GB2312"/>
          <w:sz w:val="32"/>
          <w:szCs w:val="32"/>
          <w:highlight w:val="none"/>
          <w:lang w:eastAsia="zh-Hans"/>
        </w:rPr>
        <w:t>（</w:t>
      </w:r>
      <w:r>
        <w:rPr>
          <w:rFonts w:hAnsi="仿宋_GB2312" w:eastAsia="仿宋_GB2312" w:cs="仿宋_GB2312"/>
          <w:sz w:val="32"/>
          <w:szCs w:val="32"/>
          <w:highlight w:val="none"/>
          <w:lang w:eastAsia="zh-Hans"/>
        </w:rPr>
        <w:t>1</w:t>
      </w:r>
      <w:r>
        <w:rPr>
          <w:rFonts w:hint="eastAsia" w:hAnsi="仿宋_GB2312" w:eastAsia="仿宋_GB2312" w:cs="仿宋_GB2312"/>
          <w:sz w:val="32"/>
          <w:szCs w:val="32"/>
          <w:highlight w:val="none"/>
          <w:lang w:eastAsia="zh-Hans"/>
        </w:rPr>
        <w:t>）比较法。是指将实施情况与绩效目标、历史情况、不同部门和地区同类支出情况进行比较的方法。</w:t>
      </w:r>
    </w:p>
    <w:p w14:paraId="383F2819">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Hans"/>
        </w:rPr>
        <w:t>（</w:t>
      </w:r>
      <w:r>
        <w:rPr>
          <w:rFonts w:ascii="仿宋_GB2312" w:hAnsi="仿宋_GB2312" w:eastAsia="仿宋_GB2312" w:cs="仿宋_GB2312"/>
          <w:sz w:val="32"/>
          <w:szCs w:val="32"/>
          <w:highlight w:val="none"/>
          <w:lang w:eastAsia="zh-Hans"/>
        </w:rPr>
        <w:t>2</w:t>
      </w:r>
      <w:r>
        <w:rPr>
          <w:rFonts w:hint="eastAsia" w:ascii="仿宋_GB2312" w:hAnsi="仿宋_GB2312" w:eastAsia="仿宋_GB2312" w:cs="仿宋_GB2312"/>
          <w:sz w:val="32"/>
          <w:szCs w:val="32"/>
          <w:highlight w:val="none"/>
          <w:lang w:eastAsia="zh-Hans"/>
        </w:rPr>
        <w:t>）因素分析法。是指综合分析影响绩效目标实现、实施效果的内外部因素的方法</w:t>
      </w:r>
      <w:r>
        <w:rPr>
          <w:rFonts w:hint="eastAsia" w:ascii="仿宋_GB2312" w:hAnsi="仿宋_GB2312" w:eastAsia="仿宋_GB2312" w:cs="仿宋_GB2312"/>
          <w:sz w:val="32"/>
          <w:szCs w:val="32"/>
          <w:highlight w:val="none"/>
        </w:rPr>
        <w:t>。</w:t>
      </w:r>
    </w:p>
    <w:p w14:paraId="3AF4322E">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4.评价标准</w:t>
      </w:r>
    </w:p>
    <w:p w14:paraId="5B28D51D">
      <w:pPr>
        <w:pStyle w:val="4"/>
        <w:pageBreakBefore w:val="0"/>
        <w:kinsoku/>
        <w:wordWrap/>
        <w:overflowPunct/>
        <w:topLinePunct w:val="0"/>
        <w:autoSpaceDE/>
        <w:autoSpaceDN/>
        <w:bidi w:val="0"/>
        <w:adjustRightInd/>
        <w:snapToGrid/>
        <w:spacing w:line="560" w:lineRule="exact"/>
        <w:ind w:firstLine="640" w:firstLineChars="200"/>
        <w:textAlignment w:val="auto"/>
        <w:rPr>
          <w:rFonts w:hAnsi="仿宋_GB2312" w:eastAsia="仿宋_GB2312" w:cs="仿宋_GB2312"/>
          <w:sz w:val="32"/>
          <w:szCs w:val="32"/>
          <w:highlight w:val="none"/>
          <w:lang w:eastAsia="zh-Hans"/>
        </w:rPr>
      </w:pPr>
      <w:r>
        <w:rPr>
          <w:rFonts w:hint="eastAsia" w:hAnsi="仿宋_GB2312" w:eastAsia="仿宋_GB2312" w:cs="仿宋_GB2312"/>
          <w:sz w:val="32"/>
          <w:szCs w:val="32"/>
          <w:highlight w:val="none"/>
          <w:lang w:eastAsia="zh-Hans"/>
        </w:rPr>
        <w:t>（1）计划标准。指以预先制定的目标、计划、预算、定额等作为评价标准。</w:t>
      </w:r>
    </w:p>
    <w:p w14:paraId="7F2A206A">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仿宋_GB2312" w:hAnsi="仿宋_GB2312" w:eastAsia="仿宋_GB2312" w:cs="仿宋_GB2312"/>
          <w:sz w:val="32"/>
          <w:szCs w:val="32"/>
          <w:highlight w:val="none"/>
          <w:lang w:eastAsia="zh-Hans"/>
        </w:rPr>
        <w:t>（</w:t>
      </w:r>
      <w:r>
        <w:rPr>
          <w:rFonts w:ascii="仿宋_GB2312" w:hAnsi="仿宋_GB2312" w:eastAsia="仿宋_GB2312" w:cs="仿宋_GB2312"/>
          <w:sz w:val="32"/>
          <w:szCs w:val="32"/>
          <w:highlight w:val="none"/>
          <w:lang w:eastAsia="zh-Hans"/>
        </w:rPr>
        <w:t>2</w:t>
      </w:r>
      <w:r>
        <w:rPr>
          <w:rFonts w:hint="eastAsia" w:ascii="仿宋_GB2312" w:hAnsi="仿宋_GB2312" w:eastAsia="仿宋_GB2312" w:cs="仿宋_GB2312"/>
          <w:sz w:val="32"/>
          <w:szCs w:val="32"/>
          <w:highlight w:val="none"/>
          <w:lang w:eastAsia="zh-Hans"/>
        </w:rPr>
        <w:t>）历史标准。指参照历史数据制定的评价标准，为体现绩效改进的原则，在可实现的条件下应当确定相对较高的评价标准。</w:t>
      </w:r>
    </w:p>
    <w:p w14:paraId="09CDFA99">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楷体_GB2312" w:eastAsia="楷体_GB2312"/>
          <w:highlight w:val="none"/>
        </w:rPr>
      </w:pPr>
      <w:bookmarkStart w:id="6" w:name="_Toc165999520"/>
      <w:r>
        <w:rPr>
          <w:rFonts w:hint="eastAsia" w:ascii="楷体_GB2312" w:eastAsia="楷体_GB2312"/>
          <w:highlight w:val="none"/>
        </w:rPr>
        <w:t>（三）评价实施过程</w:t>
      </w:r>
      <w:bookmarkEnd w:id="6"/>
    </w:p>
    <w:p w14:paraId="4121B57B">
      <w:pPr>
        <w:pStyle w:val="4"/>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hAnsi="仿宋_GB2312" w:eastAsia="仿宋_GB2312" w:cs="仿宋_GB2312"/>
          <w:sz w:val="32"/>
          <w:szCs w:val="32"/>
          <w:highlight w:val="none"/>
          <w:lang w:eastAsia="zh-Hans"/>
        </w:rPr>
        <w:t>自评小组在前期调研的基础上，确定了本次自评工作重点，明确了评价的目的、方法、评价的原则、指标体系等，经专业人员意见进一步完善和修改了工作方案。自评小组按照工作方案，</w:t>
      </w:r>
      <w:r>
        <w:rPr>
          <w:rFonts w:hint="eastAsia" w:hAnsi="仿宋_GB2312" w:eastAsia="仿宋_GB2312" w:cs="仿宋_GB2312"/>
          <w:sz w:val="32"/>
          <w:szCs w:val="32"/>
          <w:highlight w:val="none"/>
        </w:rPr>
        <w:t>采取数据收集与分析、电话回访及满意度调查等方法，</w:t>
      </w:r>
      <w:r>
        <w:rPr>
          <w:rFonts w:hint="eastAsia" w:hAnsi="仿宋_GB2312" w:eastAsia="仿宋_GB2312" w:cs="仿宋_GB2312"/>
          <w:sz w:val="32"/>
          <w:szCs w:val="32"/>
          <w:highlight w:val="none"/>
          <w:lang w:eastAsia="zh-Hans"/>
        </w:rPr>
        <w:t>顺利完成了自评报告工作。</w:t>
      </w:r>
    </w:p>
    <w:p w14:paraId="359E4108">
      <w:pPr>
        <w:pStyle w:val="2"/>
        <w:pageBreakBefore w:val="0"/>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b w:val="0"/>
          <w:sz w:val="32"/>
          <w:szCs w:val="32"/>
          <w:highlight w:val="none"/>
        </w:rPr>
      </w:pPr>
      <w:bookmarkStart w:id="7" w:name="_Toc165999521"/>
      <w:r>
        <w:rPr>
          <w:rFonts w:hint="eastAsia" w:ascii="黑体" w:hAnsi="黑体" w:eastAsia="黑体"/>
          <w:b w:val="0"/>
          <w:sz w:val="32"/>
          <w:szCs w:val="32"/>
          <w:highlight w:val="none"/>
        </w:rPr>
        <w:t>三、综合评价情况及评价结论</w:t>
      </w:r>
      <w:bookmarkEnd w:id="7"/>
    </w:p>
    <w:p w14:paraId="6BE9557B">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楷体_GB2312" w:eastAsia="楷体_GB2312"/>
          <w:highlight w:val="none"/>
        </w:rPr>
      </w:pPr>
      <w:bookmarkStart w:id="8" w:name="_Toc165999522"/>
      <w:r>
        <w:rPr>
          <w:rFonts w:hint="eastAsia" w:ascii="楷体_GB2312" w:eastAsia="楷体_GB2312"/>
          <w:highlight w:val="none"/>
        </w:rPr>
        <w:t>（一）评价情况</w:t>
      </w:r>
      <w:bookmarkEnd w:id="8"/>
    </w:p>
    <w:p w14:paraId="5F0FB37E">
      <w:pPr>
        <w:pStyle w:val="12"/>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sz w:val="32"/>
          <w:szCs w:val="32"/>
          <w:highlight w:val="none"/>
        </w:rPr>
      </w:pPr>
      <w:r>
        <w:rPr>
          <w:rFonts w:ascii="仿宋_GB2312" w:hAnsi="Times New Roman" w:eastAsia="仿宋_GB2312"/>
          <w:bCs/>
          <w:sz w:val="32"/>
          <w:szCs w:val="32"/>
          <w:highlight w:val="none"/>
        </w:rPr>
        <w:t>从</w:t>
      </w:r>
      <w:r>
        <w:rPr>
          <w:rFonts w:hint="eastAsia" w:ascii="仿宋_GB2312" w:hAnsi="Times New Roman" w:eastAsia="仿宋_GB2312"/>
          <w:bCs/>
          <w:sz w:val="32"/>
          <w:szCs w:val="32"/>
          <w:highlight w:val="none"/>
        </w:rPr>
        <w:t>决策</w:t>
      </w:r>
      <w:r>
        <w:rPr>
          <w:rFonts w:ascii="仿宋_GB2312" w:hAnsi="Times New Roman" w:eastAsia="仿宋_GB2312"/>
          <w:bCs/>
          <w:sz w:val="32"/>
          <w:szCs w:val="32"/>
          <w:highlight w:val="none"/>
        </w:rPr>
        <w:t>、</w:t>
      </w:r>
      <w:r>
        <w:rPr>
          <w:rFonts w:hint="eastAsia" w:ascii="仿宋_GB2312" w:hAnsi="Times New Roman" w:eastAsia="仿宋_GB2312"/>
          <w:bCs/>
          <w:sz w:val="32"/>
          <w:szCs w:val="32"/>
          <w:highlight w:val="none"/>
        </w:rPr>
        <w:t>过程</w:t>
      </w:r>
      <w:r>
        <w:rPr>
          <w:rFonts w:ascii="仿宋_GB2312" w:hAnsi="Times New Roman" w:eastAsia="仿宋_GB2312"/>
          <w:bCs/>
          <w:sz w:val="32"/>
          <w:szCs w:val="32"/>
          <w:highlight w:val="none"/>
        </w:rPr>
        <w:t>、产出、效益</w:t>
      </w:r>
      <w:r>
        <w:rPr>
          <w:rFonts w:hint="eastAsia" w:ascii="仿宋_GB2312" w:hAnsi="Times New Roman" w:eastAsia="仿宋_GB2312"/>
          <w:bCs/>
          <w:sz w:val="32"/>
          <w:szCs w:val="32"/>
          <w:highlight w:val="none"/>
        </w:rPr>
        <w:t>四</w:t>
      </w:r>
      <w:r>
        <w:rPr>
          <w:rFonts w:ascii="仿宋_GB2312" w:hAnsi="Times New Roman" w:eastAsia="仿宋_GB2312"/>
          <w:bCs/>
          <w:sz w:val="32"/>
          <w:szCs w:val="32"/>
          <w:highlight w:val="none"/>
        </w:rPr>
        <w:t>个方面进行综合评价。</w:t>
      </w:r>
      <w:r>
        <w:rPr>
          <w:rFonts w:hint="eastAsia" w:ascii="仿宋_GB2312" w:hAnsi="Times New Roman" w:eastAsia="仿宋_GB2312"/>
          <w:bCs/>
          <w:sz w:val="32"/>
          <w:szCs w:val="32"/>
          <w:highlight w:val="none"/>
        </w:rPr>
        <w:t>决策12</w:t>
      </w:r>
      <w:r>
        <w:rPr>
          <w:rFonts w:ascii="仿宋_GB2312" w:hAnsi="Times New Roman" w:eastAsia="仿宋_GB2312"/>
          <w:bCs/>
          <w:sz w:val="32"/>
          <w:szCs w:val="32"/>
          <w:highlight w:val="none"/>
        </w:rPr>
        <w:t>分，得分</w:t>
      </w:r>
      <w:r>
        <w:rPr>
          <w:rFonts w:hint="eastAsia" w:ascii="仿宋_GB2312" w:hAnsi="Times New Roman" w:eastAsia="仿宋_GB2312"/>
          <w:bCs/>
          <w:sz w:val="32"/>
          <w:szCs w:val="32"/>
          <w:highlight w:val="none"/>
          <w:lang w:val="en-US" w:eastAsia="zh-CN"/>
        </w:rPr>
        <w:t>12</w:t>
      </w:r>
      <w:r>
        <w:rPr>
          <w:rFonts w:ascii="仿宋_GB2312" w:hAnsi="Times New Roman" w:eastAsia="仿宋_GB2312"/>
          <w:bCs/>
          <w:sz w:val="32"/>
          <w:szCs w:val="32"/>
          <w:highlight w:val="none"/>
        </w:rPr>
        <w:t>分；</w:t>
      </w:r>
      <w:r>
        <w:rPr>
          <w:rFonts w:hint="eastAsia" w:ascii="仿宋_GB2312" w:hAnsi="Times New Roman" w:eastAsia="仿宋_GB2312"/>
          <w:bCs/>
          <w:sz w:val="32"/>
          <w:szCs w:val="32"/>
          <w:highlight w:val="none"/>
        </w:rPr>
        <w:t>过程16</w:t>
      </w:r>
      <w:r>
        <w:rPr>
          <w:rFonts w:ascii="仿宋_GB2312" w:hAnsi="Times New Roman" w:eastAsia="仿宋_GB2312"/>
          <w:bCs/>
          <w:sz w:val="32"/>
          <w:szCs w:val="32"/>
          <w:highlight w:val="none"/>
        </w:rPr>
        <w:t>分，得分</w:t>
      </w:r>
      <w:r>
        <w:rPr>
          <w:rFonts w:hint="eastAsia" w:ascii="仿宋_GB2312" w:hAnsi="Times New Roman" w:eastAsia="仿宋_GB2312"/>
          <w:bCs/>
          <w:sz w:val="32"/>
          <w:szCs w:val="32"/>
          <w:highlight w:val="none"/>
        </w:rPr>
        <w:t>15</w:t>
      </w:r>
      <w:r>
        <w:rPr>
          <w:rFonts w:ascii="仿宋_GB2312" w:hAnsi="Times New Roman" w:eastAsia="仿宋_GB2312"/>
          <w:bCs/>
          <w:sz w:val="32"/>
          <w:szCs w:val="32"/>
          <w:highlight w:val="none"/>
        </w:rPr>
        <w:t>分；产出</w:t>
      </w:r>
      <w:r>
        <w:rPr>
          <w:rFonts w:hint="eastAsia" w:ascii="仿宋_GB2312" w:hAnsi="Times New Roman" w:eastAsia="仿宋_GB2312"/>
          <w:bCs/>
          <w:sz w:val="32"/>
          <w:szCs w:val="32"/>
          <w:highlight w:val="none"/>
        </w:rPr>
        <w:t>40</w:t>
      </w:r>
      <w:r>
        <w:rPr>
          <w:rFonts w:ascii="仿宋_GB2312" w:hAnsi="Times New Roman" w:eastAsia="仿宋_GB2312"/>
          <w:bCs/>
          <w:sz w:val="32"/>
          <w:szCs w:val="32"/>
          <w:highlight w:val="none"/>
        </w:rPr>
        <w:t>分，得分</w:t>
      </w:r>
      <w:r>
        <w:rPr>
          <w:rFonts w:hint="eastAsia" w:ascii="仿宋_GB2312" w:hAnsi="Times New Roman" w:eastAsia="仿宋_GB2312"/>
          <w:bCs/>
          <w:sz w:val="32"/>
          <w:szCs w:val="32"/>
          <w:highlight w:val="none"/>
        </w:rPr>
        <w:t>3</w:t>
      </w:r>
      <w:r>
        <w:rPr>
          <w:rFonts w:hint="eastAsia" w:ascii="仿宋_GB2312" w:hAnsi="Times New Roman" w:eastAsia="仿宋_GB2312"/>
          <w:bCs/>
          <w:sz w:val="32"/>
          <w:szCs w:val="32"/>
          <w:highlight w:val="none"/>
          <w:lang w:val="en-US" w:eastAsia="zh-CN"/>
        </w:rPr>
        <w:t>6</w:t>
      </w:r>
      <w:r>
        <w:rPr>
          <w:rFonts w:hint="eastAsia" w:ascii="仿宋_GB2312" w:hAnsi="Times New Roman" w:eastAsia="仿宋_GB2312"/>
          <w:bCs/>
          <w:sz w:val="32"/>
          <w:szCs w:val="32"/>
          <w:highlight w:val="none"/>
        </w:rPr>
        <w:t>.5</w:t>
      </w:r>
      <w:r>
        <w:rPr>
          <w:rFonts w:ascii="仿宋_GB2312" w:hAnsi="Times New Roman" w:eastAsia="仿宋_GB2312"/>
          <w:bCs/>
          <w:sz w:val="32"/>
          <w:szCs w:val="32"/>
          <w:highlight w:val="none"/>
        </w:rPr>
        <w:t>分；效益</w:t>
      </w:r>
      <w:r>
        <w:rPr>
          <w:rFonts w:hint="eastAsia" w:ascii="仿宋_GB2312" w:hAnsi="Times New Roman" w:eastAsia="仿宋_GB2312"/>
          <w:bCs/>
          <w:sz w:val="32"/>
          <w:szCs w:val="32"/>
          <w:highlight w:val="none"/>
        </w:rPr>
        <w:t>32</w:t>
      </w:r>
      <w:r>
        <w:rPr>
          <w:rFonts w:ascii="仿宋_GB2312" w:hAnsi="Times New Roman" w:eastAsia="仿宋_GB2312"/>
          <w:bCs/>
          <w:sz w:val="32"/>
          <w:szCs w:val="32"/>
          <w:highlight w:val="none"/>
        </w:rPr>
        <w:t>分，得分</w:t>
      </w:r>
      <w:r>
        <w:rPr>
          <w:rFonts w:hint="eastAsia" w:ascii="仿宋_GB2312" w:hAnsi="Times New Roman" w:eastAsia="仿宋_GB2312"/>
          <w:bCs/>
          <w:sz w:val="32"/>
          <w:szCs w:val="32"/>
          <w:highlight w:val="none"/>
          <w:lang w:val="en-US" w:eastAsia="zh-CN"/>
        </w:rPr>
        <w:t>31</w:t>
      </w:r>
      <w:r>
        <w:rPr>
          <w:rFonts w:ascii="仿宋_GB2312" w:hAnsi="Times New Roman" w:eastAsia="仿宋_GB2312"/>
          <w:bCs/>
          <w:sz w:val="32"/>
          <w:szCs w:val="32"/>
          <w:highlight w:val="none"/>
        </w:rPr>
        <w:t>分</w:t>
      </w:r>
      <w:r>
        <w:rPr>
          <w:rFonts w:hint="eastAsia" w:ascii="仿宋_GB2312" w:hAnsi="Times New Roman" w:eastAsia="仿宋_GB2312"/>
          <w:bCs/>
          <w:sz w:val="32"/>
          <w:szCs w:val="32"/>
          <w:highlight w:val="none"/>
        </w:rPr>
        <w:t>。</w:t>
      </w:r>
    </w:p>
    <w:p w14:paraId="1B062253">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楷体_GB2312" w:eastAsia="楷体_GB2312"/>
          <w:highlight w:val="none"/>
        </w:rPr>
      </w:pPr>
      <w:bookmarkStart w:id="9" w:name="_Toc165999523"/>
      <w:r>
        <w:rPr>
          <w:rFonts w:hint="eastAsia" w:ascii="楷体_GB2312" w:eastAsia="楷体_GB2312"/>
          <w:highlight w:val="none"/>
        </w:rPr>
        <w:t>（二）评价结论</w:t>
      </w:r>
      <w:bookmarkEnd w:id="9"/>
    </w:p>
    <w:p w14:paraId="0B94CFD3">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仿宋_GB2312" w:eastAsia="仿宋_GB2312"/>
          <w:bCs/>
          <w:sz w:val="32"/>
          <w:szCs w:val="32"/>
          <w:highlight w:val="none"/>
        </w:rPr>
        <w:t>南昌市总工会</w:t>
      </w:r>
      <w:r>
        <w:rPr>
          <w:rFonts w:ascii="仿宋_GB2312" w:hAnsi="Times New Roman" w:eastAsia="仿宋_GB2312"/>
          <w:bCs/>
          <w:sz w:val="32"/>
          <w:szCs w:val="32"/>
          <w:highlight w:val="none"/>
        </w:rPr>
        <w:t>202</w:t>
      </w:r>
      <w:r>
        <w:rPr>
          <w:rFonts w:hint="eastAsia" w:ascii="仿宋_GB2312" w:hAnsi="Times New Roman" w:eastAsia="仿宋_GB2312"/>
          <w:bCs/>
          <w:sz w:val="32"/>
          <w:szCs w:val="32"/>
          <w:highlight w:val="none"/>
          <w:lang w:val="en-US" w:eastAsia="zh-CN"/>
        </w:rPr>
        <w:t>4</w:t>
      </w:r>
      <w:r>
        <w:rPr>
          <w:rFonts w:ascii="仿宋_GB2312" w:hAnsi="Times New Roman" w:eastAsia="仿宋_GB2312"/>
          <w:bCs/>
          <w:sz w:val="32"/>
          <w:szCs w:val="32"/>
          <w:highlight w:val="none"/>
        </w:rPr>
        <w:t>年度</w:t>
      </w:r>
      <w:r>
        <w:rPr>
          <w:rFonts w:hint="eastAsia" w:ascii="仿宋_GB2312" w:hAnsi="Times New Roman" w:eastAsia="仿宋_GB2312"/>
          <w:bCs/>
          <w:sz w:val="32"/>
          <w:szCs w:val="32"/>
          <w:highlight w:val="none"/>
        </w:rPr>
        <w:t>市级劳模春节慰问金项目</w:t>
      </w:r>
      <w:r>
        <w:rPr>
          <w:rFonts w:ascii="仿宋_GB2312" w:hAnsi="Times New Roman" w:eastAsia="仿宋_GB2312"/>
          <w:bCs/>
          <w:sz w:val="32"/>
          <w:szCs w:val="32"/>
          <w:highlight w:val="none"/>
        </w:rPr>
        <w:t>支出绩效评价得分</w:t>
      </w:r>
      <w:r>
        <w:rPr>
          <w:rFonts w:hint="eastAsia" w:ascii="仿宋_GB2312" w:hAnsi="Times New Roman" w:eastAsia="仿宋_GB2312"/>
          <w:bCs/>
          <w:sz w:val="32"/>
          <w:szCs w:val="32"/>
          <w:highlight w:val="none"/>
        </w:rPr>
        <w:t>9</w:t>
      </w:r>
      <w:r>
        <w:rPr>
          <w:rFonts w:hint="eastAsia" w:ascii="仿宋_GB2312" w:hAnsi="Times New Roman" w:eastAsia="仿宋_GB2312"/>
          <w:bCs/>
          <w:sz w:val="32"/>
          <w:szCs w:val="32"/>
          <w:highlight w:val="none"/>
          <w:lang w:val="en-US" w:eastAsia="zh-CN"/>
        </w:rPr>
        <w:t>4.5</w:t>
      </w:r>
      <w:r>
        <w:rPr>
          <w:rFonts w:ascii="仿宋_GB2312" w:hAnsi="Times New Roman" w:eastAsia="仿宋_GB2312"/>
          <w:bCs/>
          <w:sz w:val="32"/>
          <w:szCs w:val="32"/>
          <w:highlight w:val="none"/>
        </w:rPr>
        <w:t>分，评价等级为“</w:t>
      </w:r>
      <w:r>
        <w:rPr>
          <w:rFonts w:hint="eastAsia" w:ascii="仿宋_GB2312" w:hAnsi="Times New Roman" w:eastAsia="仿宋_GB2312"/>
          <w:bCs/>
          <w:sz w:val="32"/>
          <w:szCs w:val="32"/>
          <w:highlight w:val="none"/>
        </w:rPr>
        <w:t>优</w:t>
      </w:r>
      <w:r>
        <w:rPr>
          <w:rFonts w:ascii="仿宋_GB2312" w:hAnsi="Times New Roman" w:eastAsia="仿宋_GB2312"/>
          <w:bCs/>
          <w:sz w:val="32"/>
          <w:szCs w:val="32"/>
          <w:highlight w:val="none"/>
        </w:rPr>
        <w:t>”</w:t>
      </w:r>
    </w:p>
    <w:p w14:paraId="278EFD5A">
      <w:pPr>
        <w:pStyle w:val="2"/>
        <w:pageBreakBefore w:val="0"/>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b w:val="0"/>
          <w:sz w:val="32"/>
          <w:szCs w:val="32"/>
          <w:highlight w:val="none"/>
        </w:rPr>
      </w:pPr>
      <w:bookmarkStart w:id="10" w:name="_Toc165999524"/>
      <w:r>
        <w:rPr>
          <w:rFonts w:hint="eastAsia" w:ascii="黑体" w:hAnsi="黑体" w:eastAsia="黑体"/>
          <w:b w:val="0"/>
          <w:sz w:val="32"/>
          <w:szCs w:val="32"/>
          <w:highlight w:val="none"/>
        </w:rPr>
        <w:t>四、绩效评价指标分析</w:t>
      </w:r>
      <w:bookmarkEnd w:id="10"/>
    </w:p>
    <w:p w14:paraId="13C78EBD">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楷体_GB2312" w:eastAsia="楷体_GB2312"/>
          <w:highlight w:val="none"/>
        </w:rPr>
      </w:pPr>
      <w:bookmarkStart w:id="11" w:name="_Toc165999525"/>
      <w:r>
        <w:rPr>
          <w:rFonts w:hint="eastAsia" w:ascii="楷体_GB2312" w:eastAsia="楷体_GB2312"/>
          <w:highlight w:val="none"/>
        </w:rPr>
        <w:t>（一）项目决策情况</w:t>
      </w:r>
      <w:bookmarkEnd w:id="11"/>
    </w:p>
    <w:p w14:paraId="550C35FC">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1.项目立项</w:t>
      </w:r>
    </w:p>
    <w:p w14:paraId="2E4F4895">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hAnsi="Times New Roman" w:eastAsia="仿宋_GB2312"/>
          <w:bCs/>
          <w:sz w:val="32"/>
          <w:szCs w:val="32"/>
          <w:highlight w:val="none"/>
        </w:rPr>
        <w:t>市级劳模春节慰问金项目</w:t>
      </w:r>
      <w:r>
        <w:rPr>
          <w:rFonts w:hint="eastAsia" w:ascii="仿宋_GB2312" w:hAnsi="仿宋_GB2312" w:eastAsia="仿宋_GB2312" w:cs="仿宋_GB2312"/>
          <w:sz w:val="32"/>
          <w:szCs w:val="32"/>
          <w:highlight w:val="none"/>
        </w:rPr>
        <w:t>南昌市人民政府办公厅《关于印发市政府与市总工会第3次联席会议纪要的通知》和《关于印发市政府与市总工会第7次联席座谈会议纪要的通知》文件精神</w:t>
      </w:r>
      <w:r>
        <w:rPr>
          <w:rFonts w:hint="eastAsia" w:ascii="仿宋_GB2312" w:eastAsia="仿宋_GB2312"/>
          <w:sz w:val="32"/>
          <w:szCs w:val="32"/>
          <w:highlight w:val="none"/>
        </w:rPr>
        <w:t>，项目立项依据充分，立项程序合法合规。依据评分标准，该指标得4分。</w:t>
      </w:r>
    </w:p>
    <w:p w14:paraId="246353B3">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2.绩效目标</w:t>
      </w:r>
    </w:p>
    <w:p w14:paraId="570F2607">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检查项目申报表，绩效目标细化程度强，与项目预算资金相匹配。依据评分标准，该指标得</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分。</w:t>
      </w:r>
    </w:p>
    <w:p w14:paraId="20C75E77">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3.资金投入</w:t>
      </w:r>
    </w:p>
    <w:p w14:paraId="2AB26308">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hAnsi="仿宋_GB2312" w:eastAsia="仿宋_GB2312" w:cs="仿宋_GB2312"/>
          <w:sz w:val="32"/>
          <w:szCs w:val="32"/>
          <w:highlight w:val="none"/>
        </w:rPr>
        <w:t>南昌</w:t>
      </w:r>
      <w:r>
        <w:rPr>
          <w:rFonts w:hint="eastAsia" w:ascii="仿宋_GB2312" w:hAnsi="仿宋_GB2312" w:eastAsia="仿宋_GB2312" w:cs="仿宋_GB2312"/>
          <w:sz w:val="32"/>
          <w:szCs w:val="32"/>
          <w:highlight w:val="none"/>
          <w:lang w:eastAsia="zh-Hans"/>
        </w:rPr>
        <w:t>市总工会</w:t>
      </w:r>
      <w:r>
        <w:rPr>
          <w:rFonts w:hint="eastAsia" w:ascii="仿宋_GB2312" w:hAnsi="仿宋_GB2312" w:eastAsia="仿宋_GB2312" w:cs="仿宋_GB2312"/>
          <w:sz w:val="32"/>
          <w:szCs w:val="32"/>
          <w:highlight w:val="none"/>
        </w:rPr>
        <w:t>根据202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年底各单位上报的劳模名单计算202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年春节慰问所需的资金预算，预算编制科学，资金分配合理。</w:t>
      </w:r>
      <w:r>
        <w:rPr>
          <w:rFonts w:hint="eastAsia" w:ascii="仿宋_GB2312" w:eastAsia="仿宋_GB2312"/>
          <w:sz w:val="32"/>
          <w:szCs w:val="32"/>
          <w:highlight w:val="none"/>
        </w:rPr>
        <w:t>依据评分标准，该指标得4分。</w:t>
      </w:r>
    </w:p>
    <w:p w14:paraId="5A133462">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楷体_GB2312" w:eastAsia="楷体_GB2312"/>
          <w:highlight w:val="none"/>
        </w:rPr>
      </w:pPr>
      <w:bookmarkStart w:id="12" w:name="_Toc165999526"/>
      <w:r>
        <w:rPr>
          <w:rFonts w:hint="eastAsia" w:ascii="楷体_GB2312" w:eastAsia="楷体_GB2312"/>
          <w:highlight w:val="none"/>
        </w:rPr>
        <w:t>（二）项目过程情况</w:t>
      </w:r>
      <w:bookmarkEnd w:id="12"/>
    </w:p>
    <w:p w14:paraId="75D494B8">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1.资金管理</w:t>
      </w:r>
    </w:p>
    <w:p w14:paraId="64F7FFDD">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hAnsi="Times New Roman" w:eastAsia="仿宋_GB2312"/>
          <w:bCs/>
          <w:sz w:val="32"/>
          <w:szCs w:val="32"/>
          <w:highlight w:val="none"/>
        </w:rPr>
        <w:t>市级劳模春节慰问金项目资金到位及时，资金支付经过审批，预算执行率99.91%，预算执行率未到100%</w:t>
      </w:r>
      <w:r>
        <w:rPr>
          <w:rFonts w:hint="eastAsia" w:ascii="仿宋_GB2312" w:eastAsia="仿宋_GB2312"/>
          <w:sz w:val="32"/>
          <w:szCs w:val="32"/>
          <w:highlight w:val="none"/>
        </w:rPr>
        <w:t>。依据评分标准，</w:t>
      </w:r>
      <w:r>
        <w:rPr>
          <w:rFonts w:hint="eastAsia" w:ascii="仿宋_GB2312" w:eastAsia="仿宋_GB2312"/>
          <w:sz w:val="32"/>
          <w:szCs w:val="32"/>
          <w:highlight w:val="none"/>
          <w:lang w:eastAsia="zh-CN"/>
        </w:rPr>
        <w:t>扣</w:t>
      </w:r>
      <w:r>
        <w:rPr>
          <w:rFonts w:hint="eastAsia" w:ascii="仿宋_GB2312" w:eastAsia="仿宋_GB2312"/>
          <w:sz w:val="32"/>
          <w:szCs w:val="32"/>
          <w:highlight w:val="none"/>
          <w:lang w:val="en-US" w:eastAsia="zh-CN"/>
        </w:rPr>
        <w:t>1分，</w:t>
      </w:r>
      <w:r>
        <w:rPr>
          <w:rFonts w:hint="eastAsia" w:ascii="仿宋_GB2312" w:eastAsia="仿宋_GB2312"/>
          <w:sz w:val="32"/>
          <w:szCs w:val="32"/>
          <w:highlight w:val="none"/>
        </w:rPr>
        <w:t>该指标得</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分。</w:t>
      </w:r>
    </w:p>
    <w:p w14:paraId="3EE8F3C8">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2.组织实施</w:t>
      </w:r>
    </w:p>
    <w:p w14:paraId="620A0E32">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仿宋_GB2312" w:hAnsi="Times New Roman" w:eastAsia="仿宋_GB2312"/>
          <w:bCs/>
          <w:sz w:val="32"/>
          <w:szCs w:val="32"/>
          <w:highlight w:val="none"/>
        </w:rPr>
        <w:t>市级劳模春节慰问金项目管理制度健全，相关管理制度得到有效执行</w:t>
      </w:r>
      <w:r>
        <w:rPr>
          <w:rFonts w:hint="eastAsia" w:ascii="仿宋_GB2312" w:eastAsia="仿宋_GB2312"/>
          <w:sz w:val="32"/>
          <w:szCs w:val="32"/>
          <w:highlight w:val="none"/>
        </w:rPr>
        <w:t>。依据评分标准，该指标得7分。</w:t>
      </w:r>
    </w:p>
    <w:p w14:paraId="7E7A236E">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楷体_GB2312" w:eastAsia="楷体_GB2312"/>
          <w:highlight w:val="none"/>
        </w:rPr>
      </w:pPr>
      <w:bookmarkStart w:id="13" w:name="_Toc165999527"/>
      <w:r>
        <w:rPr>
          <w:rFonts w:hint="eastAsia" w:ascii="楷体_GB2312" w:eastAsia="楷体_GB2312"/>
          <w:highlight w:val="none"/>
        </w:rPr>
        <w:t>（三）项目产出情况</w:t>
      </w:r>
      <w:bookmarkEnd w:id="13"/>
    </w:p>
    <w:p w14:paraId="7130FFB5">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1.产出数量</w:t>
      </w:r>
    </w:p>
    <w:p w14:paraId="14FE6F78">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highlight w:val="none"/>
        </w:rPr>
      </w:pPr>
      <w:r>
        <w:rPr>
          <w:rFonts w:hint="eastAsia" w:ascii="仿宋_GB2312" w:eastAsia="仿宋_GB2312"/>
          <w:bCs/>
          <w:sz w:val="32"/>
          <w:szCs w:val="32"/>
          <w:highlight w:val="none"/>
        </w:rPr>
        <w:t>1）慰问金发放人数为</w:t>
      </w:r>
      <w:r>
        <w:rPr>
          <w:rFonts w:ascii="仿宋_GB2312" w:eastAsia="仿宋_GB2312"/>
          <w:bCs/>
          <w:sz w:val="32"/>
          <w:szCs w:val="32"/>
          <w:highlight w:val="none"/>
        </w:rPr>
        <w:t>350</w:t>
      </w:r>
      <w:r>
        <w:rPr>
          <w:rFonts w:hint="eastAsia" w:ascii="仿宋_GB2312" w:eastAsia="仿宋_GB2312"/>
          <w:bCs/>
          <w:sz w:val="32"/>
          <w:szCs w:val="32"/>
          <w:highlight w:val="none"/>
        </w:rPr>
        <w:t>9人</w:t>
      </w:r>
    </w:p>
    <w:p w14:paraId="26136EF5">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bCs/>
          <w:sz w:val="32"/>
          <w:szCs w:val="32"/>
          <w:highlight w:val="none"/>
        </w:rPr>
      </w:pPr>
      <w:r>
        <w:rPr>
          <w:rFonts w:hint="eastAsia" w:ascii="仿宋_GB2312" w:hAnsi="仿宋_GB2312" w:eastAsia="仿宋_GB2312" w:cs="仿宋_GB2312"/>
          <w:kern w:val="0"/>
          <w:sz w:val="32"/>
          <w:szCs w:val="32"/>
          <w:highlight w:val="none"/>
        </w:rPr>
        <w:t>依据当年工作计划及部门职能，设置</w:t>
      </w:r>
      <w:r>
        <w:rPr>
          <w:rFonts w:hint="eastAsia" w:ascii="仿宋_GB2312" w:hAnsi="仿宋_GB2312" w:eastAsia="仿宋_GB2312" w:cs="仿宋_GB2312"/>
          <w:kern w:val="0"/>
          <w:sz w:val="32"/>
          <w:szCs w:val="32"/>
          <w:highlight w:val="none"/>
          <w:lang w:eastAsia="zh-Hans"/>
        </w:rPr>
        <w:t>指标</w:t>
      </w:r>
      <w:r>
        <w:rPr>
          <w:rFonts w:hint="eastAsia" w:ascii="仿宋_GB2312" w:hAnsi="仿宋_GB2312" w:eastAsia="仿宋_GB2312" w:cs="仿宋_GB2312"/>
          <w:kern w:val="0"/>
          <w:sz w:val="32"/>
          <w:szCs w:val="32"/>
          <w:highlight w:val="none"/>
        </w:rPr>
        <w:t>为</w:t>
      </w:r>
      <w:r>
        <w:rPr>
          <w:rFonts w:hint="eastAsia" w:ascii="仿宋_GB2312" w:eastAsia="仿宋_GB2312"/>
          <w:bCs/>
          <w:sz w:val="32"/>
          <w:szCs w:val="32"/>
          <w:highlight w:val="none"/>
        </w:rPr>
        <w:t>慰问金发放人数为</w:t>
      </w:r>
      <w:r>
        <w:rPr>
          <w:rFonts w:hint="eastAsia" w:ascii="仿宋_GB2312" w:eastAsia="仿宋_GB2312"/>
          <w:bCs/>
          <w:sz w:val="32"/>
          <w:szCs w:val="32"/>
          <w:highlight w:val="none"/>
          <w:lang w:val="en-US" w:eastAsia="zh-CN"/>
        </w:rPr>
        <w:t>3397</w:t>
      </w:r>
      <w:r>
        <w:rPr>
          <w:rFonts w:hint="eastAsia" w:ascii="仿宋_GB2312" w:eastAsia="仿宋_GB2312"/>
          <w:bCs/>
          <w:sz w:val="32"/>
          <w:szCs w:val="32"/>
          <w:highlight w:val="none"/>
        </w:rPr>
        <w:t>人</w:t>
      </w:r>
      <w:r>
        <w:rPr>
          <w:rFonts w:hint="eastAsia" w:ascii="仿宋_GB2312" w:hAnsi="仿宋_GB2312" w:eastAsia="仿宋_GB2312" w:cs="仿宋_GB2312"/>
          <w:kern w:val="0"/>
          <w:sz w:val="32"/>
          <w:szCs w:val="32"/>
          <w:highlight w:val="none"/>
          <w:lang w:eastAsia="zh-Hans"/>
        </w:rPr>
        <w:t>，实际当年</w:t>
      </w:r>
      <w:r>
        <w:rPr>
          <w:rFonts w:hint="eastAsia" w:ascii="仿宋_GB2312" w:eastAsia="仿宋_GB2312"/>
          <w:bCs/>
          <w:sz w:val="32"/>
          <w:szCs w:val="32"/>
          <w:highlight w:val="none"/>
        </w:rPr>
        <w:t>慰问金发放人数为</w:t>
      </w:r>
      <w:r>
        <w:rPr>
          <w:rFonts w:hint="eastAsia" w:ascii="仿宋_GB2312" w:eastAsia="仿宋_GB2312"/>
          <w:bCs/>
          <w:sz w:val="32"/>
          <w:szCs w:val="32"/>
          <w:highlight w:val="none"/>
          <w:lang w:val="en-US" w:eastAsia="zh-CN"/>
        </w:rPr>
        <w:t>3392</w:t>
      </w:r>
      <w:r>
        <w:rPr>
          <w:rFonts w:hint="eastAsia" w:ascii="仿宋_GB2312" w:eastAsia="仿宋_GB2312"/>
          <w:bCs/>
          <w:sz w:val="32"/>
          <w:szCs w:val="32"/>
          <w:highlight w:val="none"/>
        </w:rPr>
        <w:t>人。依据评分标准，</w:t>
      </w:r>
      <w:r>
        <w:rPr>
          <w:rFonts w:hint="eastAsia" w:ascii="仿宋_GB2312" w:eastAsia="仿宋_GB2312"/>
          <w:bCs/>
          <w:sz w:val="32"/>
          <w:szCs w:val="32"/>
          <w:highlight w:val="none"/>
          <w:lang w:eastAsia="zh-CN"/>
        </w:rPr>
        <w:t>扣</w:t>
      </w:r>
      <w:r>
        <w:rPr>
          <w:rFonts w:hint="eastAsia" w:ascii="仿宋_GB2312" w:eastAsia="仿宋_GB2312"/>
          <w:bCs/>
          <w:sz w:val="32"/>
          <w:szCs w:val="32"/>
          <w:highlight w:val="none"/>
          <w:lang w:val="en-US" w:eastAsia="zh-CN"/>
        </w:rPr>
        <w:t>2.5分，</w:t>
      </w:r>
      <w:r>
        <w:rPr>
          <w:rFonts w:hint="eastAsia" w:ascii="仿宋_GB2312" w:eastAsia="仿宋_GB2312"/>
          <w:bCs/>
          <w:sz w:val="32"/>
          <w:szCs w:val="32"/>
          <w:highlight w:val="none"/>
        </w:rPr>
        <w:t>该指标得</w:t>
      </w:r>
      <w:r>
        <w:rPr>
          <w:rFonts w:hint="eastAsia" w:ascii="仿宋_GB2312" w:eastAsia="仿宋_GB2312"/>
          <w:bCs/>
          <w:sz w:val="32"/>
          <w:szCs w:val="32"/>
          <w:highlight w:val="none"/>
          <w:lang w:val="en-US" w:eastAsia="zh-CN"/>
        </w:rPr>
        <w:t>7</w:t>
      </w:r>
      <w:r>
        <w:rPr>
          <w:rFonts w:hint="eastAsia" w:ascii="仿宋_GB2312" w:eastAsia="仿宋_GB2312"/>
          <w:bCs/>
          <w:sz w:val="32"/>
          <w:szCs w:val="32"/>
          <w:highlight w:val="none"/>
        </w:rPr>
        <w:t>.5分</w:t>
      </w:r>
      <w:r>
        <w:rPr>
          <w:rFonts w:hint="eastAsia" w:ascii="仿宋_GB2312" w:hAnsi="Times New Roman" w:eastAsia="仿宋_GB2312"/>
          <w:bCs/>
          <w:sz w:val="32"/>
          <w:szCs w:val="32"/>
          <w:highlight w:val="none"/>
        </w:rPr>
        <w:t>。</w:t>
      </w:r>
    </w:p>
    <w:p w14:paraId="48331C66">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2.产出质量</w:t>
      </w:r>
    </w:p>
    <w:p w14:paraId="7AE0699B">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highlight w:val="none"/>
        </w:rPr>
      </w:pPr>
      <w:r>
        <w:rPr>
          <w:rFonts w:hint="eastAsia" w:ascii="仿宋_GB2312" w:eastAsia="仿宋_GB2312"/>
          <w:bCs/>
          <w:sz w:val="32"/>
          <w:szCs w:val="32"/>
          <w:highlight w:val="none"/>
        </w:rPr>
        <w:t>1）慰问金发放合规率=100%</w:t>
      </w:r>
    </w:p>
    <w:p w14:paraId="01500773">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bCs/>
          <w:sz w:val="32"/>
          <w:szCs w:val="32"/>
          <w:highlight w:val="none"/>
        </w:rPr>
      </w:pPr>
      <w:r>
        <w:rPr>
          <w:rFonts w:hint="eastAsia" w:ascii="仿宋_GB2312" w:hAnsi="仿宋_GB2312" w:eastAsia="仿宋_GB2312" w:cs="仿宋_GB2312"/>
          <w:kern w:val="0"/>
          <w:sz w:val="32"/>
          <w:szCs w:val="32"/>
          <w:highlight w:val="none"/>
        </w:rPr>
        <w:t>依据当年工作计划及部门职能，设置</w:t>
      </w:r>
      <w:r>
        <w:rPr>
          <w:rFonts w:hint="eastAsia" w:ascii="仿宋_GB2312" w:hAnsi="仿宋_GB2312" w:eastAsia="仿宋_GB2312" w:cs="仿宋_GB2312"/>
          <w:kern w:val="0"/>
          <w:sz w:val="32"/>
          <w:szCs w:val="32"/>
          <w:highlight w:val="none"/>
          <w:lang w:eastAsia="zh-Hans"/>
        </w:rPr>
        <w:t>指标</w:t>
      </w:r>
      <w:r>
        <w:rPr>
          <w:rFonts w:hint="eastAsia" w:ascii="仿宋_GB2312" w:hAnsi="仿宋_GB2312" w:eastAsia="仿宋_GB2312" w:cs="仿宋_GB2312"/>
          <w:kern w:val="0"/>
          <w:sz w:val="32"/>
          <w:szCs w:val="32"/>
          <w:highlight w:val="none"/>
        </w:rPr>
        <w:t>为</w:t>
      </w:r>
      <w:r>
        <w:rPr>
          <w:rFonts w:hint="eastAsia" w:ascii="仿宋_GB2312" w:eastAsia="仿宋_GB2312"/>
          <w:bCs/>
          <w:sz w:val="32"/>
          <w:szCs w:val="32"/>
          <w:highlight w:val="none"/>
        </w:rPr>
        <w:t>慰问金发放合规率为100%</w:t>
      </w:r>
      <w:r>
        <w:rPr>
          <w:rFonts w:hint="eastAsia" w:ascii="仿宋_GB2312" w:hAnsi="仿宋_GB2312" w:eastAsia="仿宋_GB2312" w:cs="仿宋_GB2312"/>
          <w:kern w:val="0"/>
          <w:sz w:val="32"/>
          <w:szCs w:val="32"/>
          <w:highlight w:val="none"/>
          <w:lang w:eastAsia="zh-Hans"/>
        </w:rPr>
        <w:t>，实际</w:t>
      </w:r>
      <w:r>
        <w:rPr>
          <w:rFonts w:hint="eastAsia" w:ascii="仿宋_GB2312" w:hAnsi="仿宋_GB2312" w:eastAsia="仿宋_GB2312" w:cs="仿宋_GB2312"/>
          <w:kern w:val="0"/>
          <w:sz w:val="32"/>
          <w:szCs w:val="32"/>
          <w:highlight w:val="none"/>
        </w:rPr>
        <w:t>发放合规率为100%</w:t>
      </w:r>
      <w:r>
        <w:rPr>
          <w:rFonts w:hint="eastAsia" w:ascii="仿宋_GB2312" w:eastAsia="仿宋_GB2312"/>
          <w:bCs/>
          <w:sz w:val="32"/>
          <w:szCs w:val="32"/>
          <w:highlight w:val="none"/>
        </w:rPr>
        <w:t>。依据评分标准，该指标得10分</w:t>
      </w:r>
      <w:r>
        <w:rPr>
          <w:rFonts w:hint="eastAsia" w:ascii="仿宋_GB2312" w:hAnsi="Times New Roman" w:eastAsia="仿宋_GB2312"/>
          <w:bCs/>
          <w:sz w:val="32"/>
          <w:szCs w:val="32"/>
          <w:highlight w:val="none"/>
        </w:rPr>
        <w:t>。</w:t>
      </w:r>
    </w:p>
    <w:p w14:paraId="5286F562">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3.产出时效</w:t>
      </w:r>
    </w:p>
    <w:p w14:paraId="49241F39">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highlight w:val="none"/>
        </w:rPr>
      </w:pPr>
      <w:r>
        <w:rPr>
          <w:rFonts w:hint="eastAsia" w:ascii="仿宋_GB2312" w:eastAsia="仿宋_GB2312"/>
          <w:bCs/>
          <w:sz w:val="32"/>
          <w:szCs w:val="32"/>
          <w:highlight w:val="none"/>
        </w:rPr>
        <w:t>1）慰问金发放及时率=100%</w:t>
      </w:r>
    </w:p>
    <w:p w14:paraId="75CAC27E">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highlight w:val="none"/>
        </w:rPr>
      </w:pPr>
      <w:r>
        <w:rPr>
          <w:rFonts w:hint="eastAsia" w:ascii="仿宋_GB2312" w:hAnsi="仿宋_GB2312" w:eastAsia="仿宋_GB2312" w:cs="仿宋_GB2312"/>
          <w:kern w:val="0"/>
          <w:sz w:val="32"/>
          <w:szCs w:val="32"/>
          <w:highlight w:val="none"/>
        </w:rPr>
        <w:t>依据当年工作计划及部门职能，设置</w:t>
      </w:r>
      <w:r>
        <w:rPr>
          <w:rFonts w:hint="eastAsia" w:ascii="仿宋_GB2312" w:hAnsi="仿宋_GB2312" w:eastAsia="仿宋_GB2312" w:cs="仿宋_GB2312"/>
          <w:kern w:val="0"/>
          <w:sz w:val="32"/>
          <w:szCs w:val="32"/>
          <w:highlight w:val="none"/>
          <w:lang w:eastAsia="zh-Hans"/>
        </w:rPr>
        <w:t>指标</w:t>
      </w:r>
      <w:r>
        <w:rPr>
          <w:rFonts w:hint="eastAsia" w:ascii="仿宋_GB2312" w:hAnsi="仿宋_GB2312" w:eastAsia="仿宋_GB2312" w:cs="仿宋_GB2312"/>
          <w:kern w:val="0"/>
          <w:sz w:val="32"/>
          <w:szCs w:val="32"/>
          <w:highlight w:val="none"/>
        </w:rPr>
        <w:t>为</w:t>
      </w:r>
      <w:r>
        <w:rPr>
          <w:rFonts w:hint="eastAsia" w:ascii="仿宋_GB2312" w:eastAsia="仿宋_GB2312"/>
          <w:bCs/>
          <w:sz w:val="32"/>
          <w:szCs w:val="32"/>
          <w:highlight w:val="none"/>
        </w:rPr>
        <w:t>项慰问金发放及时率为100%</w:t>
      </w:r>
      <w:r>
        <w:rPr>
          <w:rFonts w:hint="eastAsia" w:ascii="仿宋_GB2312" w:hAnsi="仿宋_GB2312" w:eastAsia="仿宋_GB2312" w:cs="仿宋_GB2312"/>
          <w:kern w:val="0"/>
          <w:sz w:val="32"/>
          <w:szCs w:val="32"/>
          <w:highlight w:val="none"/>
          <w:lang w:eastAsia="zh-Hans"/>
        </w:rPr>
        <w:t>，实际</w:t>
      </w:r>
      <w:r>
        <w:rPr>
          <w:rFonts w:hint="eastAsia" w:ascii="仿宋_GB2312" w:hAnsi="仿宋_GB2312" w:eastAsia="仿宋_GB2312" w:cs="仿宋_GB2312"/>
          <w:kern w:val="0"/>
          <w:sz w:val="32"/>
          <w:szCs w:val="32"/>
          <w:highlight w:val="none"/>
        </w:rPr>
        <w:t>发放及时率为100%</w:t>
      </w:r>
      <w:r>
        <w:rPr>
          <w:rFonts w:hint="eastAsia" w:ascii="仿宋_GB2312" w:eastAsia="仿宋_GB2312"/>
          <w:bCs/>
          <w:sz w:val="32"/>
          <w:szCs w:val="32"/>
          <w:highlight w:val="none"/>
        </w:rPr>
        <w:t>。依据评分标准，该指标得10分。</w:t>
      </w:r>
    </w:p>
    <w:p w14:paraId="251BB5A6">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4.产出成本</w:t>
      </w:r>
    </w:p>
    <w:p w14:paraId="24D74464">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highlight w:val="none"/>
        </w:rPr>
      </w:pPr>
      <w:r>
        <w:rPr>
          <w:rFonts w:hint="eastAsia" w:ascii="仿宋_GB2312" w:eastAsia="仿宋_GB2312"/>
          <w:bCs/>
          <w:sz w:val="32"/>
          <w:szCs w:val="32"/>
          <w:highlight w:val="none"/>
        </w:rPr>
        <w:t>1）慰问金项目成本控制率=100%</w:t>
      </w:r>
    </w:p>
    <w:p w14:paraId="1A6F005A">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bCs/>
          <w:sz w:val="32"/>
          <w:szCs w:val="32"/>
          <w:highlight w:val="none"/>
        </w:rPr>
      </w:pPr>
      <w:r>
        <w:rPr>
          <w:rFonts w:hint="eastAsia" w:ascii="仿宋_GB2312" w:hAnsi="仿宋_GB2312" w:eastAsia="仿宋_GB2312" w:cs="仿宋_GB2312"/>
          <w:kern w:val="0"/>
          <w:sz w:val="32"/>
          <w:szCs w:val="32"/>
          <w:highlight w:val="none"/>
        </w:rPr>
        <w:t>依据当年工作计划及部门职能，设置</w:t>
      </w:r>
      <w:r>
        <w:rPr>
          <w:rFonts w:hint="eastAsia" w:ascii="仿宋_GB2312" w:hAnsi="仿宋_GB2312" w:eastAsia="仿宋_GB2312" w:cs="仿宋_GB2312"/>
          <w:kern w:val="0"/>
          <w:sz w:val="32"/>
          <w:szCs w:val="32"/>
          <w:highlight w:val="none"/>
          <w:lang w:eastAsia="zh-Hans"/>
        </w:rPr>
        <w:t>指标</w:t>
      </w:r>
      <w:r>
        <w:rPr>
          <w:rFonts w:hint="eastAsia" w:ascii="仿宋_GB2312" w:hAnsi="仿宋_GB2312" w:eastAsia="仿宋_GB2312" w:cs="仿宋_GB2312"/>
          <w:kern w:val="0"/>
          <w:sz w:val="32"/>
          <w:szCs w:val="32"/>
          <w:highlight w:val="none"/>
        </w:rPr>
        <w:t>为</w:t>
      </w:r>
      <w:r>
        <w:rPr>
          <w:rFonts w:hint="eastAsia" w:ascii="仿宋_GB2312" w:eastAsia="仿宋_GB2312"/>
          <w:bCs/>
          <w:sz w:val="32"/>
          <w:szCs w:val="32"/>
          <w:highlight w:val="none"/>
        </w:rPr>
        <w:t>慰问金项目成本控制率为100%</w:t>
      </w:r>
      <w:r>
        <w:rPr>
          <w:rFonts w:hint="eastAsia" w:ascii="仿宋_GB2312" w:hAnsi="仿宋_GB2312" w:eastAsia="仿宋_GB2312" w:cs="仿宋_GB2312"/>
          <w:kern w:val="0"/>
          <w:sz w:val="32"/>
          <w:szCs w:val="32"/>
          <w:highlight w:val="none"/>
        </w:rPr>
        <w:t>，项目预算</w:t>
      </w:r>
      <w:r>
        <w:rPr>
          <w:rFonts w:hint="eastAsia" w:ascii="仿宋_GB2312" w:hAnsi="仿宋_GB2312" w:eastAsia="仿宋_GB2312" w:cs="仿宋_GB2312"/>
          <w:kern w:val="0"/>
          <w:sz w:val="32"/>
          <w:szCs w:val="32"/>
          <w:highlight w:val="none"/>
          <w:lang w:val="en-US" w:eastAsia="zh-CN"/>
        </w:rPr>
        <w:t>169.85</w:t>
      </w:r>
      <w:r>
        <w:rPr>
          <w:rFonts w:hint="eastAsia" w:ascii="仿宋_GB2312" w:hAnsi="仿宋_GB2312" w:eastAsia="仿宋_GB2312" w:cs="仿宋_GB2312"/>
          <w:kern w:val="0"/>
          <w:sz w:val="32"/>
          <w:szCs w:val="32"/>
          <w:highlight w:val="none"/>
        </w:rPr>
        <w:t>万元，项目支出</w:t>
      </w:r>
      <w:r>
        <w:rPr>
          <w:rFonts w:hint="eastAsia" w:ascii="仿宋_GB2312" w:hAnsi="仿宋_GB2312" w:eastAsia="仿宋_GB2312" w:cs="仿宋_GB2312"/>
          <w:kern w:val="0"/>
          <w:sz w:val="32"/>
          <w:szCs w:val="32"/>
          <w:highlight w:val="none"/>
          <w:lang w:val="en-US" w:eastAsia="zh-CN"/>
        </w:rPr>
        <w:t>169.6</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Hans"/>
        </w:rPr>
        <w:t>实际</w:t>
      </w:r>
      <w:r>
        <w:rPr>
          <w:rFonts w:hint="eastAsia" w:ascii="仿宋_GB2312" w:hAnsi="仿宋_GB2312" w:eastAsia="仿宋_GB2312" w:cs="仿宋_GB2312"/>
          <w:kern w:val="0"/>
          <w:sz w:val="32"/>
          <w:szCs w:val="32"/>
          <w:highlight w:val="none"/>
        </w:rPr>
        <w:t>成本控制率为99.</w:t>
      </w:r>
      <w:r>
        <w:rPr>
          <w:rFonts w:hint="eastAsia" w:ascii="仿宋_GB2312" w:hAnsi="仿宋_GB2312" w:eastAsia="仿宋_GB2312" w:cs="仿宋_GB2312"/>
          <w:kern w:val="0"/>
          <w:sz w:val="32"/>
          <w:szCs w:val="32"/>
          <w:highlight w:val="none"/>
          <w:lang w:val="en-US" w:eastAsia="zh-CN"/>
        </w:rPr>
        <w:t>85</w:t>
      </w:r>
      <w:r>
        <w:rPr>
          <w:rFonts w:hint="eastAsia" w:ascii="仿宋_GB2312" w:hAnsi="仿宋_GB2312" w:eastAsia="仿宋_GB2312" w:cs="仿宋_GB2312"/>
          <w:kern w:val="0"/>
          <w:sz w:val="32"/>
          <w:szCs w:val="32"/>
          <w:highlight w:val="none"/>
        </w:rPr>
        <w:t>%</w:t>
      </w:r>
      <w:r>
        <w:rPr>
          <w:rFonts w:hint="eastAsia" w:ascii="仿宋_GB2312" w:eastAsia="仿宋_GB2312"/>
          <w:bCs/>
          <w:sz w:val="32"/>
          <w:szCs w:val="32"/>
          <w:highlight w:val="none"/>
        </w:rPr>
        <w:t>。依据评分标准，</w:t>
      </w:r>
      <w:r>
        <w:rPr>
          <w:rFonts w:hint="eastAsia" w:ascii="仿宋_GB2312" w:eastAsia="仿宋_GB2312"/>
          <w:bCs/>
          <w:sz w:val="32"/>
          <w:szCs w:val="32"/>
          <w:highlight w:val="none"/>
          <w:lang w:eastAsia="zh-CN"/>
        </w:rPr>
        <w:t>扣</w:t>
      </w:r>
      <w:r>
        <w:rPr>
          <w:rFonts w:hint="eastAsia" w:ascii="仿宋_GB2312" w:eastAsia="仿宋_GB2312"/>
          <w:bCs/>
          <w:sz w:val="32"/>
          <w:szCs w:val="32"/>
          <w:highlight w:val="none"/>
          <w:lang w:val="en-US" w:eastAsia="zh-CN"/>
        </w:rPr>
        <w:t>1分，</w:t>
      </w:r>
      <w:r>
        <w:rPr>
          <w:rFonts w:hint="eastAsia" w:ascii="仿宋_GB2312" w:eastAsia="仿宋_GB2312"/>
          <w:bCs/>
          <w:sz w:val="32"/>
          <w:szCs w:val="32"/>
          <w:highlight w:val="none"/>
        </w:rPr>
        <w:t>该指标得9分。</w:t>
      </w:r>
    </w:p>
    <w:p w14:paraId="742AD20E">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楷体_GB2312" w:eastAsia="楷体_GB2312"/>
          <w:highlight w:val="none"/>
        </w:rPr>
      </w:pPr>
      <w:bookmarkStart w:id="14" w:name="_Toc165999528"/>
      <w:r>
        <w:rPr>
          <w:rFonts w:hint="eastAsia" w:ascii="楷体_GB2312" w:eastAsia="楷体_GB2312"/>
          <w:highlight w:val="none"/>
        </w:rPr>
        <w:t>（四）项目效益情况</w:t>
      </w:r>
      <w:bookmarkEnd w:id="14"/>
    </w:p>
    <w:p w14:paraId="4B81B101">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lang w:val="en-US" w:eastAsia="zh-CN"/>
        </w:rPr>
        <w:t>1</w:t>
      </w:r>
      <w:r>
        <w:rPr>
          <w:rFonts w:hint="eastAsia" w:ascii="仿宋_GB2312" w:eastAsia="仿宋_GB2312"/>
          <w:b/>
          <w:sz w:val="32"/>
          <w:szCs w:val="32"/>
          <w:highlight w:val="none"/>
        </w:rPr>
        <w:t>.社会效益指标</w:t>
      </w:r>
    </w:p>
    <w:p w14:paraId="76DF2C84">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仿宋_GB2312" w:hAnsi="仿宋_GB2312" w:eastAsia="仿宋_GB2312" w:cs="仿宋_GB2312"/>
          <w:kern w:val="0"/>
          <w:sz w:val="32"/>
          <w:szCs w:val="32"/>
          <w:highlight w:val="none"/>
          <w:lang w:eastAsia="zh-Hans"/>
        </w:rPr>
        <w:t>依据当年工作计划及部门职能</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Hans"/>
        </w:rPr>
        <w:t>设置指标为</w:t>
      </w:r>
      <w:r>
        <w:rPr>
          <w:rFonts w:hint="eastAsia" w:ascii="仿宋_GB2312" w:eastAsia="仿宋_GB2312"/>
          <w:bCs/>
          <w:sz w:val="32"/>
          <w:szCs w:val="32"/>
          <w:highlight w:val="none"/>
        </w:rPr>
        <w:t>提升劳模荣誉感，</w:t>
      </w:r>
      <w:r>
        <w:rPr>
          <w:rFonts w:hint="eastAsia" w:ascii="仿宋_GB2312" w:eastAsia="仿宋_GB2312"/>
          <w:bCs/>
          <w:sz w:val="32"/>
          <w:szCs w:val="32"/>
          <w:highlight w:val="none"/>
          <w:lang w:eastAsia="zh-CN"/>
        </w:rPr>
        <w:t>该项目</w:t>
      </w:r>
      <w:r>
        <w:rPr>
          <w:rFonts w:hint="eastAsia" w:ascii="仿宋_GB2312" w:hAnsi="仿宋_GB2312" w:eastAsia="仿宋_GB2312" w:cs="仿宋_GB2312"/>
          <w:bCs/>
          <w:kern w:val="2"/>
          <w:sz w:val="32"/>
          <w:szCs w:val="32"/>
          <w:highlight w:val="none"/>
          <w:lang w:val="en-US" w:eastAsia="zh-CN" w:bidi="ar-SA"/>
        </w:rPr>
        <w:t>将</w:t>
      </w:r>
      <w:r>
        <w:rPr>
          <w:rFonts w:hint="eastAsia" w:ascii="仿宋_GB2312" w:hAnsi="仿宋_GB2312" w:eastAsia="仿宋_GB2312" w:cs="仿宋_GB2312"/>
          <w:bCs/>
          <w:kern w:val="2"/>
          <w:sz w:val="32"/>
          <w:szCs w:val="32"/>
          <w:highlight w:val="none"/>
          <w:lang w:val="en-US" w:bidi="ar-SA"/>
        </w:rPr>
        <w:t>党和政府及工会组织对劳模的关怀和关心传达到每位劳模的心里</w:t>
      </w:r>
      <w:r>
        <w:rPr>
          <w:rFonts w:hint="eastAsia" w:ascii="仿宋_GB2312" w:hAnsi="仿宋_GB2312" w:eastAsia="仿宋_GB2312" w:cs="仿宋_GB2312"/>
          <w:bCs/>
          <w:kern w:val="2"/>
          <w:sz w:val="32"/>
          <w:szCs w:val="32"/>
          <w:highlight w:val="none"/>
          <w:lang w:val="en-US" w:eastAsia="zh-CN" w:bidi="ar-SA"/>
        </w:rPr>
        <w:t>，给予了每人500元的慰问金，</w:t>
      </w:r>
      <w:r>
        <w:rPr>
          <w:rFonts w:hint="eastAsia" w:ascii="仿宋_GB2312" w:eastAsia="仿宋_GB2312"/>
          <w:bCs/>
          <w:sz w:val="32"/>
          <w:szCs w:val="32"/>
          <w:highlight w:val="none"/>
        </w:rPr>
        <w:t>依据评分标准，该指标得</w:t>
      </w:r>
      <w:r>
        <w:rPr>
          <w:rFonts w:hint="eastAsia" w:ascii="仿宋_GB2312" w:eastAsia="仿宋_GB2312"/>
          <w:bCs/>
          <w:sz w:val="32"/>
          <w:szCs w:val="32"/>
          <w:highlight w:val="none"/>
          <w:lang w:val="en-US" w:eastAsia="zh-CN"/>
        </w:rPr>
        <w:t>11</w:t>
      </w:r>
      <w:r>
        <w:rPr>
          <w:rFonts w:hint="eastAsia" w:ascii="仿宋_GB2312" w:eastAsia="仿宋_GB2312"/>
          <w:bCs/>
          <w:sz w:val="32"/>
          <w:szCs w:val="32"/>
          <w:highlight w:val="none"/>
        </w:rPr>
        <w:t>分。</w:t>
      </w:r>
    </w:p>
    <w:p w14:paraId="42E8CFB2">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仿宋_GB2312" w:hAnsi="仿宋_GB2312" w:eastAsia="仿宋_GB2312" w:cs="仿宋_GB2312"/>
          <w:kern w:val="0"/>
          <w:sz w:val="32"/>
          <w:szCs w:val="32"/>
          <w:highlight w:val="none"/>
          <w:lang w:eastAsia="zh-Hans"/>
        </w:rPr>
        <w:t>依据当年工作计划及部门职能</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Hans"/>
        </w:rPr>
        <w:t>设置指标为</w:t>
      </w:r>
      <w:r>
        <w:rPr>
          <w:rFonts w:hint="eastAsia" w:ascii="仿宋_GB2312" w:eastAsia="仿宋_GB2312"/>
          <w:bCs/>
          <w:sz w:val="32"/>
          <w:szCs w:val="32"/>
          <w:highlight w:val="none"/>
        </w:rPr>
        <w:t>持续弘扬劳模精神</w:t>
      </w:r>
      <w:r>
        <w:rPr>
          <w:rFonts w:hint="eastAsia" w:ascii="仿宋_GB2312" w:eastAsia="仿宋_GB2312"/>
          <w:bCs/>
          <w:sz w:val="32"/>
          <w:szCs w:val="32"/>
          <w:highlight w:val="none"/>
          <w:lang w:eastAsia="zh-CN"/>
        </w:rPr>
        <w:t>。该项目能</w:t>
      </w:r>
      <w:r>
        <w:rPr>
          <w:rFonts w:hint="eastAsia" w:ascii="仿宋_GB2312" w:hAnsi="仿宋_GB2312" w:eastAsia="仿宋_GB2312" w:cs="仿宋_GB2312"/>
          <w:bCs/>
          <w:kern w:val="2"/>
          <w:sz w:val="32"/>
          <w:szCs w:val="32"/>
          <w:highlight w:val="none"/>
          <w:lang w:val="en-US" w:bidi="ar-SA"/>
        </w:rPr>
        <w:t>体现社会对于劳模的认可，有利于大力弘扬劳模精神</w:t>
      </w:r>
      <w:r>
        <w:rPr>
          <w:rFonts w:hint="eastAsia" w:ascii="仿宋_GB2312" w:hAnsi="仿宋_GB2312" w:eastAsia="仿宋_GB2312" w:cs="仿宋_GB2312"/>
          <w:bCs/>
          <w:kern w:val="2"/>
          <w:sz w:val="32"/>
          <w:szCs w:val="32"/>
          <w:highlight w:val="none"/>
          <w:lang w:val="en-US" w:eastAsia="zh-CN" w:bidi="ar-SA"/>
        </w:rPr>
        <w:t>，</w:t>
      </w:r>
      <w:r>
        <w:rPr>
          <w:rFonts w:hint="eastAsia" w:ascii="仿宋_GB2312" w:hAnsi="仿宋_GB2312" w:eastAsia="仿宋_GB2312" w:cs="仿宋_GB2312"/>
          <w:bCs/>
          <w:kern w:val="2"/>
          <w:sz w:val="32"/>
          <w:szCs w:val="32"/>
          <w:highlight w:val="none"/>
          <w:lang w:val="en-US" w:bidi="ar-SA"/>
        </w:rPr>
        <w:t>激励劳模继续在今后工作中发光发热，做出新的贡献</w:t>
      </w:r>
      <w:r>
        <w:rPr>
          <w:rFonts w:hint="eastAsia" w:ascii="仿宋_GB2312" w:hAnsi="仿宋_GB2312" w:eastAsia="仿宋_GB2312" w:cs="仿宋_GB2312"/>
          <w:bCs/>
          <w:kern w:val="2"/>
          <w:sz w:val="32"/>
          <w:szCs w:val="32"/>
          <w:highlight w:val="none"/>
          <w:lang w:val="en-US" w:eastAsia="zh-CN" w:bidi="ar-SA"/>
        </w:rPr>
        <w:t>，</w:t>
      </w:r>
      <w:r>
        <w:rPr>
          <w:rFonts w:hint="eastAsia" w:ascii="仿宋_GB2312" w:eastAsia="仿宋_GB2312"/>
          <w:bCs/>
          <w:sz w:val="32"/>
          <w:szCs w:val="32"/>
          <w:highlight w:val="none"/>
        </w:rPr>
        <w:t>依据评分标准，该指标得</w:t>
      </w:r>
      <w:r>
        <w:rPr>
          <w:rFonts w:hint="eastAsia" w:ascii="仿宋_GB2312" w:eastAsia="仿宋_GB2312"/>
          <w:bCs/>
          <w:sz w:val="32"/>
          <w:szCs w:val="32"/>
          <w:highlight w:val="none"/>
          <w:lang w:val="en-US" w:eastAsia="zh-CN"/>
        </w:rPr>
        <w:t>11</w:t>
      </w:r>
      <w:r>
        <w:rPr>
          <w:rFonts w:hint="eastAsia" w:ascii="仿宋_GB2312" w:eastAsia="仿宋_GB2312"/>
          <w:bCs/>
          <w:sz w:val="32"/>
          <w:szCs w:val="32"/>
          <w:highlight w:val="none"/>
        </w:rPr>
        <w:t>分。</w:t>
      </w:r>
    </w:p>
    <w:p w14:paraId="781DCA7A">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lang w:val="en-US" w:eastAsia="zh-CN"/>
        </w:rPr>
        <w:t>2</w:t>
      </w:r>
      <w:r>
        <w:rPr>
          <w:rFonts w:hint="eastAsia" w:ascii="仿宋_GB2312" w:eastAsia="仿宋_GB2312"/>
          <w:b/>
          <w:sz w:val="32"/>
          <w:szCs w:val="32"/>
          <w:highlight w:val="none"/>
        </w:rPr>
        <w:t>.满意度指标</w:t>
      </w:r>
    </w:p>
    <w:p w14:paraId="27BF46E9">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仿宋_GB2312" w:hAnsi="仿宋_GB2312" w:eastAsia="仿宋_GB2312" w:cs="仿宋_GB2312"/>
          <w:kern w:val="0"/>
          <w:sz w:val="32"/>
          <w:szCs w:val="32"/>
          <w:highlight w:val="none"/>
          <w:lang w:eastAsia="zh-Hans"/>
        </w:rPr>
        <w:t>依据当年工作计划及部门职能</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Hans"/>
        </w:rPr>
        <w:t>设置指标为</w:t>
      </w:r>
      <w:r>
        <w:rPr>
          <w:rFonts w:hint="eastAsia" w:ascii="仿宋_GB2312" w:eastAsia="仿宋_GB2312"/>
          <w:bCs/>
          <w:sz w:val="32"/>
          <w:szCs w:val="32"/>
          <w:highlight w:val="none"/>
        </w:rPr>
        <w:t>劳模满意度≥95%，劳模实际满意度</w:t>
      </w:r>
      <w:r>
        <w:rPr>
          <w:rFonts w:hint="eastAsia" w:ascii="仿宋_GB2312" w:eastAsia="仿宋_GB2312"/>
          <w:bCs/>
          <w:sz w:val="32"/>
          <w:szCs w:val="32"/>
          <w:highlight w:val="none"/>
          <w:lang w:val="en-US" w:eastAsia="zh-CN"/>
        </w:rPr>
        <w:t>90</w:t>
      </w:r>
      <w:r>
        <w:rPr>
          <w:rFonts w:hint="eastAsia" w:ascii="仿宋_GB2312" w:eastAsia="仿宋_GB2312"/>
          <w:bCs/>
          <w:sz w:val="32"/>
          <w:szCs w:val="32"/>
          <w:highlight w:val="none"/>
        </w:rPr>
        <w:t>%。依据评分标准，</w:t>
      </w:r>
      <w:r>
        <w:rPr>
          <w:rFonts w:hint="eastAsia" w:ascii="仿宋_GB2312" w:eastAsia="仿宋_GB2312"/>
          <w:bCs/>
          <w:sz w:val="32"/>
          <w:szCs w:val="32"/>
          <w:highlight w:val="none"/>
          <w:lang w:eastAsia="zh-CN"/>
        </w:rPr>
        <w:t>扣</w:t>
      </w:r>
      <w:r>
        <w:rPr>
          <w:rFonts w:hint="eastAsia" w:ascii="仿宋_GB2312" w:eastAsia="仿宋_GB2312"/>
          <w:bCs/>
          <w:sz w:val="32"/>
          <w:szCs w:val="32"/>
          <w:highlight w:val="none"/>
          <w:lang w:val="en-US" w:eastAsia="zh-CN"/>
        </w:rPr>
        <w:t>1分，</w:t>
      </w:r>
      <w:r>
        <w:rPr>
          <w:rFonts w:hint="eastAsia" w:ascii="仿宋_GB2312" w:eastAsia="仿宋_GB2312"/>
          <w:bCs/>
          <w:sz w:val="32"/>
          <w:szCs w:val="32"/>
          <w:highlight w:val="none"/>
        </w:rPr>
        <w:t>该指标得</w:t>
      </w:r>
      <w:r>
        <w:rPr>
          <w:rFonts w:hint="eastAsia" w:ascii="仿宋_GB2312" w:eastAsia="仿宋_GB2312"/>
          <w:bCs/>
          <w:sz w:val="32"/>
          <w:szCs w:val="32"/>
          <w:highlight w:val="none"/>
          <w:lang w:val="en-US" w:eastAsia="zh-CN"/>
        </w:rPr>
        <w:t>9</w:t>
      </w:r>
      <w:r>
        <w:rPr>
          <w:rFonts w:hint="eastAsia" w:ascii="仿宋_GB2312" w:eastAsia="仿宋_GB2312"/>
          <w:bCs/>
          <w:sz w:val="32"/>
          <w:szCs w:val="32"/>
          <w:highlight w:val="none"/>
        </w:rPr>
        <w:t>分。</w:t>
      </w:r>
    </w:p>
    <w:p w14:paraId="2DC5803A">
      <w:pPr>
        <w:pStyle w:val="2"/>
        <w:pageBreakBefore w:val="0"/>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b w:val="0"/>
          <w:sz w:val="32"/>
          <w:szCs w:val="32"/>
          <w:highlight w:val="none"/>
        </w:rPr>
      </w:pPr>
      <w:bookmarkStart w:id="15" w:name="_Toc165999529"/>
      <w:r>
        <w:rPr>
          <w:rFonts w:hint="eastAsia" w:ascii="黑体" w:hAnsi="黑体" w:eastAsia="黑体"/>
          <w:b w:val="0"/>
          <w:sz w:val="32"/>
          <w:szCs w:val="32"/>
          <w:highlight w:val="none"/>
        </w:rPr>
        <w:t>五、主要经验及做法、存在的问题及原因分析</w:t>
      </w:r>
      <w:bookmarkEnd w:id="15"/>
    </w:p>
    <w:p w14:paraId="118EC339">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仿宋_GB2312" w:hAnsi="仿宋_GB2312" w:eastAsia="仿宋_GB2312" w:cs="仿宋_GB2312"/>
          <w:sz w:val="32"/>
          <w:szCs w:val="32"/>
          <w:highlight w:val="none"/>
        </w:rPr>
        <w:t>市级劳模春节慰问金项目中，年初设置的数量指标是慰问金发放人数</w:t>
      </w:r>
      <w:r>
        <w:rPr>
          <w:rFonts w:hint="eastAsia" w:ascii="仿宋_GB2312" w:hAnsi="仿宋_GB2312" w:eastAsia="仿宋_GB2312" w:cs="仿宋_GB2312"/>
          <w:sz w:val="32"/>
          <w:szCs w:val="32"/>
          <w:highlight w:val="none"/>
          <w:lang w:val="en-US" w:eastAsia="zh-CN"/>
        </w:rPr>
        <w:t>3397</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eastAsia="zh-Hans"/>
        </w:rPr>
        <w:t>实际</w:t>
      </w:r>
      <w:r>
        <w:rPr>
          <w:rFonts w:hint="eastAsia" w:ascii="仿宋_GB2312" w:hAnsi="仿宋_GB2312" w:eastAsia="仿宋_GB2312" w:cs="仿宋_GB2312"/>
          <w:sz w:val="32"/>
          <w:szCs w:val="32"/>
          <w:highlight w:val="none"/>
        </w:rPr>
        <w:t>完成值为</w:t>
      </w:r>
      <w:r>
        <w:rPr>
          <w:rFonts w:hint="eastAsia" w:ascii="仿宋_GB2312" w:hAnsi="仿宋_GB2312" w:eastAsia="仿宋_GB2312" w:cs="仿宋_GB2312"/>
          <w:sz w:val="32"/>
          <w:szCs w:val="32"/>
          <w:highlight w:val="none"/>
          <w:lang w:val="en-US" w:eastAsia="zh-CN"/>
        </w:rPr>
        <w:t>3392</w:t>
      </w:r>
      <w:r>
        <w:rPr>
          <w:rFonts w:hint="eastAsia" w:ascii="仿宋_GB2312" w:hAnsi="仿宋_GB2312" w:eastAsia="仿宋_GB2312" w:cs="仿宋_GB2312"/>
          <w:sz w:val="32"/>
          <w:szCs w:val="32"/>
          <w:highlight w:val="none"/>
        </w:rPr>
        <w:t>人。主要是因为有</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名劳模</w:t>
      </w:r>
      <w:r>
        <w:rPr>
          <w:rFonts w:hint="eastAsia" w:ascii="仿宋_GB2312" w:hAnsi="仿宋_GB2312" w:eastAsia="仿宋_GB2312" w:cs="仿宋_GB2312"/>
          <w:sz w:val="32"/>
          <w:szCs w:val="32"/>
          <w:highlight w:val="none"/>
          <w:lang w:eastAsia="zh-CN"/>
        </w:rPr>
        <w:t>去世或不再享有劳模待遇</w:t>
      </w:r>
      <w:r>
        <w:rPr>
          <w:rFonts w:hint="eastAsia" w:ascii="仿宋_GB2312" w:hAnsi="仿宋_GB2312" w:eastAsia="仿宋_GB2312" w:cs="仿宋_GB2312"/>
          <w:sz w:val="32"/>
          <w:szCs w:val="32"/>
          <w:highlight w:val="none"/>
        </w:rPr>
        <w:t>，南昌市总工会未在慰问金发放前重新合适调整预算。</w:t>
      </w:r>
    </w:p>
    <w:p w14:paraId="47D64614">
      <w:pPr>
        <w:pStyle w:val="2"/>
        <w:pageBreakBefore w:val="0"/>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b w:val="0"/>
          <w:sz w:val="32"/>
          <w:szCs w:val="32"/>
          <w:highlight w:val="none"/>
        </w:rPr>
      </w:pPr>
      <w:bookmarkStart w:id="16" w:name="_Toc165999530"/>
      <w:r>
        <w:rPr>
          <w:rFonts w:hint="eastAsia" w:ascii="黑体" w:hAnsi="黑体" w:eastAsia="黑体"/>
          <w:b w:val="0"/>
          <w:sz w:val="32"/>
          <w:szCs w:val="32"/>
          <w:highlight w:val="none"/>
        </w:rPr>
        <w:t>六、有关建议</w:t>
      </w:r>
      <w:bookmarkEnd w:id="16"/>
    </w:p>
    <w:p w14:paraId="6F4B4104">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仿宋_GB2312" w:hAnsi="仿宋_GB2312" w:eastAsia="仿宋_GB2312" w:cs="仿宋_GB2312"/>
          <w:sz w:val="32"/>
          <w:szCs w:val="32"/>
          <w:highlight w:val="none"/>
        </w:rPr>
        <w:t>强化预算执行管理，确保预算绩效目标按时保质保量实现，如年初设置的指标值在执行过程中产生动态变化，及时考量研判，修改相应的绩效指标和目标值，以便更好地反映实际工作。</w:t>
      </w:r>
    </w:p>
    <w:p w14:paraId="0C1AC5B4">
      <w:pPr>
        <w:pStyle w:val="2"/>
        <w:pageBreakBefore w:val="0"/>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b w:val="0"/>
          <w:sz w:val="32"/>
          <w:szCs w:val="32"/>
          <w:highlight w:val="none"/>
        </w:rPr>
      </w:pPr>
      <w:bookmarkStart w:id="17" w:name="_Toc165999531"/>
      <w:r>
        <w:rPr>
          <w:rFonts w:hint="eastAsia" w:ascii="黑体" w:hAnsi="黑体" w:eastAsia="黑体"/>
          <w:b w:val="0"/>
          <w:sz w:val="32"/>
          <w:szCs w:val="32"/>
          <w:highlight w:val="none"/>
        </w:rPr>
        <w:t>七、其他需要说明的问题</w:t>
      </w:r>
      <w:bookmarkEnd w:id="17"/>
    </w:p>
    <w:p w14:paraId="19ECD1F1">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sz w:val="32"/>
          <w:szCs w:val="32"/>
          <w:highlight w:val="none"/>
        </w:rPr>
        <w:t>无</w:t>
      </w:r>
    </w:p>
    <w:p w14:paraId="040041BA">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p>
    <w:p w14:paraId="599B7333">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年度南昌市总工会市级劳模春节慰问金项目</w:t>
      </w:r>
    </w:p>
    <w:p w14:paraId="0C40E8D5">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支出绩效评价评分表</w:t>
      </w:r>
    </w:p>
    <w:p w14:paraId="12C9AAE8">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p>
    <w:p w14:paraId="394C35E0">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p>
    <w:p w14:paraId="708AF1E7">
      <w:pPr>
        <w:pageBreakBefore w:val="0"/>
        <w:kinsoku/>
        <w:wordWrap/>
        <w:overflowPunct/>
        <w:topLinePunct w:val="0"/>
        <w:autoSpaceDE/>
        <w:autoSpaceDN/>
        <w:bidi w:val="0"/>
        <w:adjustRightInd/>
        <w:snapToGrid/>
        <w:spacing w:line="560" w:lineRule="exact"/>
        <w:ind w:right="320" w:firstLine="640" w:firstLineChars="200"/>
        <w:jc w:val="right"/>
        <w:textAlignment w:val="auto"/>
        <w:rPr>
          <w:rFonts w:ascii="仿宋_GB2312" w:eastAsia="仿宋_GB2312"/>
          <w:sz w:val="32"/>
          <w:szCs w:val="32"/>
          <w:highlight w:val="none"/>
        </w:rPr>
      </w:pPr>
      <w:r>
        <w:rPr>
          <w:rFonts w:hint="eastAsia" w:ascii="仿宋_GB2312" w:eastAsia="仿宋_GB2312"/>
          <w:sz w:val="32"/>
          <w:szCs w:val="32"/>
          <w:highlight w:val="none"/>
        </w:rPr>
        <w:t>南昌市总工会</w:t>
      </w:r>
    </w:p>
    <w:p w14:paraId="6BA47D41">
      <w:pPr>
        <w:pageBreakBefore w:val="0"/>
        <w:kinsoku/>
        <w:wordWrap/>
        <w:overflowPunct/>
        <w:topLinePunct w:val="0"/>
        <w:autoSpaceDE/>
        <w:autoSpaceDN/>
        <w:bidi w:val="0"/>
        <w:adjustRightInd/>
        <w:snapToGrid/>
        <w:spacing w:line="560" w:lineRule="exact"/>
        <w:ind w:firstLine="640" w:firstLineChars="200"/>
        <w:jc w:val="right"/>
        <w:textAlignment w:val="auto"/>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24</w:t>
      </w:r>
      <w:r>
        <w:rPr>
          <w:rFonts w:hint="eastAsia" w:ascii="仿宋_GB2312" w:eastAsia="仿宋_GB2312"/>
          <w:sz w:val="32"/>
          <w:szCs w:val="32"/>
          <w:highlight w:val="none"/>
        </w:rPr>
        <w:t>日</w:t>
      </w:r>
    </w:p>
    <w:p w14:paraId="78AA96FE">
      <w:pPr>
        <w:pageBreakBefore w:val="0"/>
        <w:kinsoku/>
        <w:wordWrap/>
        <w:overflowPunct/>
        <w:topLinePunct w:val="0"/>
        <w:autoSpaceDE/>
        <w:autoSpaceDN/>
        <w:bidi w:val="0"/>
        <w:adjustRightInd/>
        <w:snapToGrid/>
        <w:spacing w:line="560" w:lineRule="exact"/>
        <w:ind w:firstLine="640" w:firstLineChars="200"/>
        <w:jc w:val="right"/>
        <w:textAlignment w:val="auto"/>
        <w:rPr>
          <w:rFonts w:ascii="仿宋_GB2312" w:eastAsia="仿宋_GB2312"/>
          <w:sz w:val="32"/>
          <w:szCs w:val="32"/>
          <w:highlight w:val="none"/>
        </w:rPr>
        <w:sectPr>
          <w:footerReference r:id="rId9" w:type="default"/>
          <w:pgSz w:w="11906" w:h="16838"/>
          <w:pgMar w:top="1440" w:right="1800" w:bottom="1440" w:left="1800" w:header="851" w:footer="992" w:gutter="0"/>
          <w:pgNumType w:fmt="decimal" w:start="1"/>
          <w:cols w:space="425" w:num="1"/>
          <w:docGrid w:type="lines" w:linePitch="312" w:charSpace="0"/>
        </w:sectPr>
      </w:pPr>
    </w:p>
    <w:p w14:paraId="47F1E887">
      <w:pPr>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年度南昌市总工会市级劳模春节慰问金项目支出绩效评价评分表</w:t>
      </w:r>
    </w:p>
    <w:tbl>
      <w:tblPr>
        <w:tblStyle w:val="13"/>
        <w:tblW w:w="5000" w:type="pct"/>
        <w:tblInd w:w="0" w:type="dxa"/>
        <w:tblLayout w:type="autofit"/>
        <w:tblCellMar>
          <w:top w:w="0" w:type="dxa"/>
          <w:left w:w="108" w:type="dxa"/>
          <w:bottom w:w="0" w:type="dxa"/>
          <w:right w:w="108" w:type="dxa"/>
        </w:tblCellMar>
      </w:tblPr>
      <w:tblGrid>
        <w:gridCol w:w="803"/>
        <w:gridCol w:w="621"/>
        <w:gridCol w:w="1126"/>
        <w:gridCol w:w="508"/>
        <w:gridCol w:w="2995"/>
        <w:gridCol w:w="3594"/>
        <w:gridCol w:w="2397"/>
        <w:gridCol w:w="984"/>
        <w:gridCol w:w="539"/>
        <w:gridCol w:w="607"/>
      </w:tblGrid>
      <w:tr w14:paraId="218B6D05">
        <w:tblPrEx>
          <w:tblCellMar>
            <w:top w:w="0" w:type="dxa"/>
            <w:left w:w="108" w:type="dxa"/>
            <w:bottom w:w="0" w:type="dxa"/>
            <w:right w:w="108" w:type="dxa"/>
          </w:tblCellMar>
        </w:tblPrEx>
        <w:trPr>
          <w:trHeight w:val="90" w:hRule="atLeast"/>
          <w:tblHeader/>
        </w:trPr>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14:paraId="79726AC7">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一级</w:t>
            </w:r>
            <w:r>
              <w:rPr>
                <w:rFonts w:hint="eastAsia" w:ascii="黑体" w:hAnsi="黑体" w:eastAsia="黑体" w:cs="Times New Roman"/>
                <w:color w:val="000000"/>
                <w:kern w:val="0"/>
                <w:sz w:val="16"/>
                <w:szCs w:val="18"/>
                <w:highlight w:val="none"/>
              </w:rPr>
              <w:br w:type="textWrapping"/>
            </w:r>
            <w:r>
              <w:rPr>
                <w:rFonts w:hint="eastAsia" w:ascii="黑体" w:hAnsi="黑体" w:eastAsia="黑体" w:cs="Times New Roman"/>
                <w:color w:val="000000"/>
                <w:kern w:val="0"/>
                <w:sz w:val="16"/>
                <w:szCs w:val="18"/>
                <w:highlight w:val="none"/>
              </w:rPr>
              <w:t>指标</w:t>
            </w:r>
          </w:p>
        </w:tc>
        <w:tc>
          <w:tcPr>
            <w:tcW w:w="219" w:type="pct"/>
            <w:tcBorders>
              <w:top w:val="single" w:color="auto" w:sz="4" w:space="0"/>
              <w:left w:val="nil"/>
              <w:bottom w:val="single" w:color="auto" w:sz="4" w:space="0"/>
              <w:right w:val="single" w:color="auto" w:sz="4" w:space="0"/>
            </w:tcBorders>
            <w:shd w:val="clear" w:color="auto" w:fill="auto"/>
            <w:vAlign w:val="center"/>
          </w:tcPr>
          <w:p w14:paraId="032B1459">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二级</w:t>
            </w:r>
            <w:r>
              <w:rPr>
                <w:rFonts w:hint="eastAsia" w:ascii="黑体" w:hAnsi="黑体" w:eastAsia="黑体" w:cs="Times New Roman"/>
                <w:color w:val="000000"/>
                <w:kern w:val="0"/>
                <w:sz w:val="16"/>
                <w:szCs w:val="18"/>
                <w:highlight w:val="none"/>
              </w:rPr>
              <w:br w:type="textWrapping"/>
            </w:r>
            <w:r>
              <w:rPr>
                <w:rFonts w:hint="eastAsia" w:ascii="黑体" w:hAnsi="黑体" w:eastAsia="黑体" w:cs="Times New Roman"/>
                <w:color w:val="000000"/>
                <w:kern w:val="0"/>
                <w:sz w:val="16"/>
                <w:szCs w:val="18"/>
                <w:highlight w:val="none"/>
              </w:rPr>
              <w:t>指标</w:t>
            </w:r>
          </w:p>
        </w:tc>
        <w:tc>
          <w:tcPr>
            <w:tcW w:w="397" w:type="pct"/>
            <w:tcBorders>
              <w:top w:val="single" w:color="auto" w:sz="4" w:space="0"/>
              <w:left w:val="nil"/>
              <w:bottom w:val="single" w:color="auto" w:sz="4" w:space="0"/>
              <w:right w:val="single" w:color="auto" w:sz="4" w:space="0"/>
            </w:tcBorders>
            <w:shd w:val="clear" w:color="auto" w:fill="auto"/>
            <w:vAlign w:val="center"/>
          </w:tcPr>
          <w:p w14:paraId="4CDAE167">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三级指标</w:t>
            </w:r>
          </w:p>
        </w:tc>
        <w:tc>
          <w:tcPr>
            <w:tcW w:w="179" w:type="pct"/>
            <w:tcBorders>
              <w:top w:val="single" w:color="auto" w:sz="4" w:space="0"/>
              <w:left w:val="nil"/>
              <w:bottom w:val="single" w:color="auto" w:sz="4" w:space="0"/>
              <w:right w:val="single" w:color="auto" w:sz="4" w:space="0"/>
            </w:tcBorders>
            <w:shd w:val="clear" w:color="auto" w:fill="auto"/>
            <w:vAlign w:val="center"/>
          </w:tcPr>
          <w:p w14:paraId="1A2A3ACF">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分值</w:t>
            </w:r>
          </w:p>
        </w:tc>
        <w:tc>
          <w:tcPr>
            <w:tcW w:w="1056" w:type="pct"/>
            <w:tcBorders>
              <w:top w:val="single" w:color="auto" w:sz="4" w:space="0"/>
              <w:left w:val="nil"/>
              <w:bottom w:val="single" w:color="auto" w:sz="4" w:space="0"/>
              <w:right w:val="single" w:color="auto" w:sz="4" w:space="0"/>
            </w:tcBorders>
            <w:shd w:val="clear" w:color="auto" w:fill="auto"/>
            <w:vAlign w:val="center"/>
          </w:tcPr>
          <w:p w14:paraId="4E33EE19">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指标解释</w:t>
            </w:r>
          </w:p>
        </w:tc>
        <w:tc>
          <w:tcPr>
            <w:tcW w:w="1267" w:type="pct"/>
            <w:tcBorders>
              <w:top w:val="single" w:color="auto" w:sz="4" w:space="0"/>
              <w:left w:val="nil"/>
              <w:bottom w:val="single" w:color="auto" w:sz="4" w:space="0"/>
              <w:right w:val="single" w:color="auto" w:sz="4" w:space="0"/>
            </w:tcBorders>
            <w:shd w:val="clear" w:color="auto" w:fill="auto"/>
            <w:vAlign w:val="center"/>
          </w:tcPr>
          <w:p w14:paraId="5C157302">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评分要点</w:t>
            </w:r>
          </w:p>
        </w:tc>
        <w:tc>
          <w:tcPr>
            <w:tcW w:w="845" w:type="pct"/>
            <w:tcBorders>
              <w:top w:val="single" w:color="auto" w:sz="4" w:space="0"/>
              <w:left w:val="nil"/>
              <w:bottom w:val="single" w:color="auto" w:sz="4" w:space="0"/>
              <w:right w:val="single" w:color="auto" w:sz="4" w:space="0"/>
            </w:tcBorders>
            <w:shd w:val="clear" w:color="auto" w:fill="auto"/>
            <w:vAlign w:val="center"/>
          </w:tcPr>
          <w:p w14:paraId="68A33C21">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评分标准</w:t>
            </w:r>
          </w:p>
        </w:tc>
        <w:tc>
          <w:tcPr>
            <w:tcW w:w="347" w:type="pct"/>
            <w:tcBorders>
              <w:top w:val="single" w:color="auto" w:sz="4" w:space="0"/>
              <w:left w:val="nil"/>
              <w:bottom w:val="single" w:color="auto" w:sz="4" w:space="0"/>
              <w:right w:val="single" w:color="auto" w:sz="4" w:space="0"/>
            </w:tcBorders>
            <w:shd w:val="clear" w:color="auto" w:fill="auto"/>
            <w:vAlign w:val="center"/>
          </w:tcPr>
          <w:p w14:paraId="1F82B039">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评价情况</w:t>
            </w:r>
          </w:p>
        </w:tc>
        <w:tc>
          <w:tcPr>
            <w:tcW w:w="190" w:type="pct"/>
            <w:tcBorders>
              <w:top w:val="single" w:color="auto" w:sz="4" w:space="0"/>
              <w:left w:val="nil"/>
              <w:bottom w:val="single" w:color="auto" w:sz="4" w:space="0"/>
              <w:right w:val="single" w:color="auto" w:sz="4" w:space="0"/>
            </w:tcBorders>
            <w:shd w:val="clear" w:color="auto" w:fill="auto"/>
            <w:vAlign w:val="center"/>
          </w:tcPr>
          <w:p w14:paraId="09B7524F">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扣分</w:t>
            </w:r>
          </w:p>
        </w:tc>
        <w:tc>
          <w:tcPr>
            <w:tcW w:w="214" w:type="pct"/>
            <w:tcBorders>
              <w:top w:val="single" w:color="auto" w:sz="4" w:space="0"/>
              <w:left w:val="nil"/>
              <w:bottom w:val="single" w:color="auto" w:sz="4" w:space="0"/>
              <w:right w:val="single" w:color="auto" w:sz="4" w:space="0"/>
            </w:tcBorders>
            <w:shd w:val="clear" w:color="auto" w:fill="auto"/>
            <w:vAlign w:val="center"/>
          </w:tcPr>
          <w:p w14:paraId="6E96E072">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得分</w:t>
            </w:r>
          </w:p>
        </w:tc>
      </w:tr>
      <w:tr w14:paraId="7B065BAA">
        <w:tblPrEx>
          <w:tblCellMar>
            <w:top w:w="0" w:type="dxa"/>
            <w:left w:w="108" w:type="dxa"/>
            <w:bottom w:w="0" w:type="dxa"/>
            <w:right w:w="108" w:type="dxa"/>
          </w:tblCellMar>
        </w:tblPrEx>
        <w:trPr>
          <w:trHeight w:val="2025" w:hRule="atLeast"/>
        </w:trPr>
        <w:tc>
          <w:tcPr>
            <w:tcW w:w="283" w:type="pct"/>
            <w:vMerge w:val="restart"/>
            <w:tcBorders>
              <w:top w:val="nil"/>
              <w:left w:val="single" w:color="auto" w:sz="4" w:space="0"/>
              <w:bottom w:val="single" w:color="auto" w:sz="4" w:space="0"/>
              <w:right w:val="single" w:color="auto" w:sz="4" w:space="0"/>
            </w:tcBorders>
            <w:shd w:val="clear" w:color="auto" w:fill="auto"/>
            <w:vAlign w:val="center"/>
          </w:tcPr>
          <w:p w14:paraId="6540B758">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决策</w:t>
            </w:r>
          </w:p>
        </w:tc>
        <w:tc>
          <w:tcPr>
            <w:tcW w:w="219" w:type="pct"/>
            <w:vMerge w:val="restart"/>
            <w:tcBorders>
              <w:top w:val="nil"/>
              <w:left w:val="single" w:color="auto" w:sz="4" w:space="0"/>
              <w:bottom w:val="single" w:color="auto" w:sz="4" w:space="0"/>
              <w:right w:val="single" w:color="auto" w:sz="4" w:space="0"/>
            </w:tcBorders>
            <w:shd w:val="clear" w:color="auto" w:fill="auto"/>
            <w:vAlign w:val="center"/>
          </w:tcPr>
          <w:p w14:paraId="69A7C235">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项目立项</w:t>
            </w:r>
          </w:p>
        </w:tc>
        <w:tc>
          <w:tcPr>
            <w:tcW w:w="397" w:type="pct"/>
            <w:tcBorders>
              <w:top w:val="nil"/>
              <w:left w:val="nil"/>
              <w:bottom w:val="single" w:color="auto" w:sz="4" w:space="0"/>
              <w:right w:val="single" w:color="auto" w:sz="4" w:space="0"/>
            </w:tcBorders>
            <w:shd w:val="clear" w:color="auto" w:fill="auto"/>
            <w:vAlign w:val="center"/>
          </w:tcPr>
          <w:p w14:paraId="111A87C0">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立项依据充分性</w:t>
            </w:r>
          </w:p>
        </w:tc>
        <w:tc>
          <w:tcPr>
            <w:tcW w:w="179" w:type="pct"/>
            <w:tcBorders>
              <w:top w:val="nil"/>
              <w:left w:val="nil"/>
              <w:bottom w:val="single" w:color="auto" w:sz="4" w:space="0"/>
              <w:right w:val="single" w:color="auto" w:sz="4" w:space="0"/>
            </w:tcBorders>
            <w:shd w:val="clear" w:color="auto" w:fill="auto"/>
            <w:vAlign w:val="center"/>
          </w:tcPr>
          <w:p w14:paraId="4E554A15">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2</w:t>
            </w:r>
          </w:p>
        </w:tc>
        <w:tc>
          <w:tcPr>
            <w:tcW w:w="1056" w:type="pct"/>
            <w:tcBorders>
              <w:top w:val="nil"/>
              <w:left w:val="nil"/>
              <w:bottom w:val="single" w:color="auto" w:sz="4" w:space="0"/>
              <w:right w:val="single" w:color="auto" w:sz="4" w:space="0"/>
            </w:tcBorders>
            <w:shd w:val="clear" w:color="auto" w:fill="auto"/>
            <w:vAlign w:val="center"/>
          </w:tcPr>
          <w:p w14:paraId="47B7CB6C">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项目立项是否符合法律法规、相关政策、发展规划以及部门职责，用以反映和考核项目立项依据情况。</w:t>
            </w:r>
          </w:p>
        </w:tc>
        <w:tc>
          <w:tcPr>
            <w:tcW w:w="1267" w:type="pct"/>
            <w:tcBorders>
              <w:top w:val="nil"/>
              <w:left w:val="nil"/>
              <w:bottom w:val="single" w:color="auto" w:sz="4" w:space="0"/>
              <w:right w:val="single" w:color="auto" w:sz="4" w:space="0"/>
            </w:tcBorders>
            <w:shd w:val="clear" w:color="auto" w:fill="auto"/>
            <w:vAlign w:val="center"/>
          </w:tcPr>
          <w:p w14:paraId="59595A8E">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①项目立项是否符合国家法律法规、国民经济发展规划和相关政策；</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②项目立项是否符合行业发展规划和政策要求；</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③项目立项是否与部门职责范围相符，属于部门履职所需；</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④项目是否属于公共财政支持范围，是否符合中央、地方事权支出责任划分原则；</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⑤项目是否与相关部门同类项目或部门内部相关项目重复。</w:t>
            </w:r>
          </w:p>
        </w:tc>
        <w:tc>
          <w:tcPr>
            <w:tcW w:w="845" w:type="pct"/>
            <w:tcBorders>
              <w:top w:val="nil"/>
              <w:left w:val="nil"/>
              <w:bottom w:val="single" w:color="auto" w:sz="4" w:space="0"/>
              <w:right w:val="single" w:color="auto" w:sz="4" w:space="0"/>
            </w:tcBorders>
            <w:shd w:val="clear" w:color="auto" w:fill="auto"/>
            <w:vAlign w:val="center"/>
          </w:tcPr>
          <w:p w14:paraId="0FFFF4D8">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有1项存在问题扣0.5分。</w:t>
            </w:r>
          </w:p>
        </w:tc>
        <w:tc>
          <w:tcPr>
            <w:tcW w:w="347" w:type="pct"/>
            <w:tcBorders>
              <w:top w:val="nil"/>
              <w:left w:val="nil"/>
              <w:bottom w:val="single" w:color="auto" w:sz="4" w:space="0"/>
              <w:right w:val="single" w:color="auto" w:sz="4" w:space="0"/>
            </w:tcBorders>
            <w:shd w:val="clear" w:color="auto" w:fill="auto"/>
            <w:vAlign w:val="center"/>
          </w:tcPr>
          <w:p w14:paraId="358EB9E3">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　</w:t>
            </w:r>
          </w:p>
        </w:tc>
        <w:tc>
          <w:tcPr>
            <w:tcW w:w="190" w:type="pct"/>
            <w:tcBorders>
              <w:top w:val="nil"/>
              <w:left w:val="nil"/>
              <w:bottom w:val="single" w:color="auto" w:sz="4" w:space="0"/>
              <w:right w:val="single" w:color="auto" w:sz="4" w:space="0"/>
            </w:tcBorders>
            <w:shd w:val="clear" w:color="auto" w:fill="auto"/>
            <w:noWrap/>
            <w:vAlign w:val="center"/>
          </w:tcPr>
          <w:p w14:paraId="34DA74DC">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214" w:type="pct"/>
            <w:tcBorders>
              <w:top w:val="nil"/>
              <w:left w:val="nil"/>
              <w:bottom w:val="single" w:color="auto" w:sz="4" w:space="0"/>
              <w:right w:val="single" w:color="auto" w:sz="4" w:space="0"/>
            </w:tcBorders>
            <w:shd w:val="clear" w:color="auto" w:fill="auto"/>
            <w:noWrap/>
            <w:vAlign w:val="center"/>
          </w:tcPr>
          <w:p w14:paraId="3A56AD41">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xml:space="preserve">2.00 </w:t>
            </w:r>
          </w:p>
        </w:tc>
      </w:tr>
      <w:tr w14:paraId="6D4B1062">
        <w:tblPrEx>
          <w:tblCellMar>
            <w:top w:w="0" w:type="dxa"/>
            <w:left w:w="108" w:type="dxa"/>
            <w:bottom w:w="0" w:type="dxa"/>
            <w:right w:w="108" w:type="dxa"/>
          </w:tblCellMar>
        </w:tblPrEx>
        <w:trPr>
          <w:trHeight w:val="900" w:hRule="atLeast"/>
        </w:trPr>
        <w:tc>
          <w:tcPr>
            <w:tcW w:w="283" w:type="pct"/>
            <w:vMerge w:val="continue"/>
            <w:tcBorders>
              <w:top w:val="nil"/>
              <w:left w:val="single" w:color="auto" w:sz="4" w:space="0"/>
              <w:bottom w:val="single" w:color="auto" w:sz="4" w:space="0"/>
              <w:right w:val="single" w:color="auto" w:sz="4" w:space="0"/>
            </w:tcBorders>
            <w:vAlign w:val="center"/>
          </w:tcPr>
          <w:p w14:paraId="5FFD234C">
            <w:pPr>
              <w:widowControl/>
              <w:ind w:left="-105" w:leftChars="-50" w:right="-105" w:rightChars="-50"/>
              <w:jc w:val="left"/>
              <w:rPr>
                <w:rFonts w:ascii="宋体" w:hAnsi="宋体" w:eastAsia="宋体" w:cs="Times New Roman"/>
                <w:color w:val="000000"/>
                <w:kern w:val="0"/>
                <w:sz w:val="16"/>
                <w:szCs w:val="18"/>
                <w:highlight w:val="none"/>
              </w:rPr>
            </w:pPr>
          </w:p>
        </w:tc>
        <w:tc>
          <w:tcPr>
            <w:tcW w:w="219" w:type="pct"/>
            <w:vMerge w:val="continue"/>
            <w:tcBorders>
              <w:top w:val="nil"/>
              <w:left w:val="single" w:color="auto" w:sz="4" w:space="0"/>
              <w:bottom w:val="single" w:color="auto" w:sz="4" w:space="0"/>
              <w:right w:val="single" w:color="auto" w:sz="4" w:space="0"/>
            </w:tcBorders>
            <w:vAlign w:val="center"/>
          </w:tcPr>
          <w:p w14:paraId="0F15C38D">
            <w:pPr>
              <w:widowControl/>
              <w:ind w:left="-105" w:leftChars="-50" w:right="-105" w:rightChars="-50"/>
              <w:jc w:val="left"/>
              <w:rPr>
                <w:rFonts w:ascii="宋体" w:hAnsi="宋体" w:eastAsia="宋体" w:cs="Times New Roman"/>
                <w:color w:val="000000"/>
                <w:kern w:val="0"/>
                <w:sz w:val="16"/>
                <w:szCs w:val="18"/>
                <w:highlight w:val="none"/>
              </w:rPr>
            </w:pPr>
          </w:p>
        </w:tc>
        <w:tc>
          <w:tcPr>
            <w:tcW w:w="397" w:type="pct"/>
            <w:tcBorders>
              <w:top w:val="nil"/>
              <w:left w:val="nil"/>
              <w:bottom w:val="single" w:color="auto" w:sz="4" w:space="0"/>
              <w:right w:val="single" w:color="auto" w:sz="4" w:space="0"/>
            </w:tcBorders>
            <w:shd w:val="clear" w:color="auto" w:fill="auto"/>
            <w:vAlign w:val="center"/>
          </w:tcPr>
          <w:p w14:paraId="35310479">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立项程序规范性</w:t>
            </w:r>
          </w:p>
        </w:tc>
        <w:tc>
          <w:tcPr>
            <w:tcW w:w="179" w:type="pct"/>
            <w:tcBorders>
              <w:top w:val="nil"/>
              <w:left w:val="nil"/>
              <w:bottom w:val="single" w:color="auto" w:sz="4" w:space="0"/>
              <w:right w:val="single" w:color="auto" w:sz="4" w:space="0"/>
            </w:tcBorders>
            <w:shd w:val="clear" w:color="auto" w:fill="auto"/>
            <w:vAlign w:val="center"/>
          </w:tcPr>
          <w:p w14:paraId="7A732D00">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2</w:t>
            </w:r>
          </w:p>
        </w:tc>
        <w:tc>
          <w:tcPr>
            <w:tcW w:w="1056" w:type="pct"/>
            <w:tcBorders>
              <w:top w:val="nil"/>
              <w:left w:val="nil"/>
              <w:bottom w:val="single" w:color="auto" w:sz="4" w:space="0"/>
              <w:right w:val="single" w:color="auto" w:sz="4" w:space="0"/>
            </w:tcBorders>
            <w:shd w:val="clear" w:color="auto" w:fill="auto"/>
            <w:vAlign w:val="center"/>
          </w:tcPr>
          <w:p w14:paraId="7230B987">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项目申请、设立过程是否符合相关要求，用以反映和考核项目立项的规范情况。</w:t>
            </w:r>
          </w:p>
        </w:tc>
        <w:tc>
          <w:tcPr>
            <w:tcW w:w="1267" w:type="pct"/>
            <w:tcBorders>
              <w:top w:val="nil"/>
              <w:left w:val="nil"/>
              <w:bottom w:val="single" w:color="auto" w:sz="4" w:space="0"/>
              <w:right w:val="single" w:color="auto" w:sz="4" w:space="0"/>
            </w:tcBorders>
            <w:shd w:val="clear" w:color="auto" w:fill="auto"/>
            <w:vAlign w:val="center"/>
          </w:tcPr>
          <w:p w14:paraId="24FBAC20">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①项目是否按照规定的程序申请设立；</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②审批文件、材料是否符合相关要求；</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③事前是否已经过必要的可行性研究、专家论证、风险评估、绩效评估、集体决策。</w:t>
            </w:r>
          </w:p>
        </w:tc>
        <w:tc>
          <w:tcPr>
            <w:tcW w:w="845" w:type="pct"/>
            <w:tcBorders>
              <w:top w:val="nil"/>
              <w:left w:val="nil"/>
              <w:bottom w:val="single" w:color="auto" w:sz="4" w:space="0"/>
              <w:right w:val="single" w:color="auto" w:sz="4" w:space="0"/>
            </w:tcBorders>
            <w:shd w:val="clear" w:color="auto" w:fill="auto"/>
            <w:vAlign w:val="center"/>
          </w:tcPr>
          <w:p w14:paraId="119DBD07">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有1项存在问题扣0.5分。</w:t>
            </w:r>
          </w:p>
        </w:tc>
        <w:tc>
          <w:tcPr>
            <w:tcW w:w="347" w:type="pct"/>
            <w:tcBorders>
              <w:top w:val="nil"/>
              <w:left w:val="nil"/>
              <w:bottom w:val="single" w:color="auto" w:sz="4" w:space="0"/>
              <w:right w:val="single" w:color="auto" w:sz="4" w:space="0"/>
            </w:tcBorders>
            <w:shd w:val="clear" w:color="auto" w:fill="auto"/>
            <w:vAlign w:val="center"/>
          </w:tcPr>
          <w:p w14:paraId="367121BB">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　</w:t>
            </w:r>
          </w:p>
        </w:tc>
        <w:tc>
          <w:tcPr>
            <w:tcW w:w="190" w:type="pct"/>
            <w:tcBorders>
              <w:top w:val="nil"/>
              <w:left w:val="nil"/>
              <w:bottom w:val="single" w:color="auto" w:sz="4" w:space="0"/>
              <w:right w:val="single" w:color="auto" w:sz="4" w:space="0"/>
            </w:tcBorders>
            <w:shd w:val="clear" w:color="auto" w:fill="auto"/>
            <w:noWrap/>
            <w:vAlign w:val="center"/>
          </w:tcPr>
          <w:p w14:paraId="13276FBE">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214" w:type="pct"/>
            <w:tcBorders>
              <w:top w:val="nil"/>
              <w:left w:val="nil"/>
              <w:bottom w:val="single" w:color="auto" w:sz="4" w:space="0"/>
              <w:right w:val="single" w:color="auto" w:sz="4" w:space="0"/>
            </w:tcBorders>
            <w:shd w:val="clear" w:color="auto" w:fill="auto"/>
            <w:noWrap/>
            <w:vAlign w:val="center"/>
          </w:tcPr>
          <w:p w14:paraId="12AEE592">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xml:space="preserve">2.00 </w:t>
            </w:r>
          </w:p>
        </w:tc>
      </w:tr>
      <w:tr w14:paraId="785F6036">
        <w:tblPrEx>
          <w:tblCellMar>
            <w:top w:w="0" w:type="dxa"/>
            <w:left w:w="108" w:type="dxa"/>
            <w:bottom w:w="0" w:type="dxa"/>
            <w:right w:w="108" w:type="dxa"/>
          </w:tblCellMar>
        </w:tblPrEx>
        <w:trPr>
          <w:trHeight w:val="900" w:hRule="atLeast"/>
        </w:trPr>
        <w:tc>
          <w:tcPr>
            <w:tcW w:w="283" w:type="pct"/>
            <w:vMerge w:val="continue"/>
            <w:tcBorders>
              <w:top w:val="nil"/>
              <w:left w:val="single" w:color="auto" w:sz="4" w:space="0"/>
              <w:bottom w:val="single" w:color="auto" w:sz="4" w:space="0"/>
              <w:right w:val="single" w:color="auto" w:sz="4" w:space="0"/>
            </w:tcBorders>
            <w:vAlign w:val="center"/>
          </w:tcPr>
          <w:p w14:paraId="0C6B074E">
            <w:pPr>
              <w:widowControl/>
              <w:ind w:left="-105" w:leftChars="-50" w:right="-105" w:rightChars="-50"/>
              <w:jc w:val="left"/>
              <w:rPr>
                <w:rFonts w:ascii="宋体" w:hAnsi="宋体" w:eastAsia="宋体" w:cs="Times New Roman"/>
                <w:color w:val="000000"/>
                <w:kern w:val="0"/>
                <w:sz w:val="16"/>
                <w:szCs w:val="18"/>
                <w:highlight w:val="none"/>
              </w:rPr>
            </w:pPr>
          </w:p>
        </w:tc>
        <w:tc>
          <w:tcPr>
            <w:tcW w:w="219" w:type="pct"/>
            <w:vMerge w:val="restart"/>
            <w:tcBorders>
              <w:top w:val="nil"/>
              <w:left w:val="single" w:color="auto" w:sz="4" w:space="0"/>
              <w:bottom w:val="single" w:color="auto" w:sz="4" w:space="0"/>
              <w:right w:val="single" w:color="auto" w:sz="4" w:space="0"/>
            </w:tcBorders>
            <w:shd w:val="clear" w:color="auto" w:fill="auto"/>
            <w:vAlign w:val="center"/>
          </w:tcPr>
          <w:p w14:paraId="567C0175">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绩效目标</w:t>
            </w:r>
          </w:p>
        </w:tc>
        <w:tc>
          <w:tcPr>
            <w:tcW w:w="397" w:type="pct"/>
            <w:tcBorders>
              <w:top w:val="nil"/>
              <w:left w:val="nil"/>
              <w:bottom w:val="single" w:color="auto" w:sz="4" w:space="0"/>
              <w:right w:val="single" w:color="auto" w:sz="4" w:space="0"/>
            </w:tcBorders>
            <w:shd w:val="clear" w:color="auto" w:fill="auto"/>
            <w:vAlign w:val="center"/>
          </w:tcPr>
          <w:p w14:paraId="49E6F1DF">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绩效目标合理性</w:t>
            </w:r>
          </w:p>
        </w:tc>
        <w:tc>
          <w:tcPr>
            <w:tcW w:w="179" w:type="pct"/>
            <w:tcBorders>
              <w:top w:val="nil"/>
              <w:left w:val="nil"/>
              <w:bottom w:val="single" w:color="auto" w:sz="4" w:space="0"/>
              <w:right w:val="single" w:color="auto" w:sz="4" w:space="0"/>
            </w:tcBorders>
            <w:shd w:val="clear" w:color="auto" w:fill="auto"/>
            <w:vAlign w:val="center"/>
          </w:tcPr>
          <w:p w14:paraId="45F92415">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2</w:t>
            </w:r>
          </w:p>
        </w:tc>
        <w:tc>
          <w:tcPr>
            <w:tcW w:w="1056" w:type="pct"/>
            <w:tcBorders>
              <w:top w:val="nil"/>
              <w:left w:val="nil"/>
              <w:bottom w:val="single" w:color="auto" w:sz="4" w:space="0"/>
              <w:right w:val="single" w:color="auto" w:sz="4" w:space="0"/>
            </w:tcBorders>
            <w:shd w:val="clear" w:color="auto" w:fill="auto"/>
            <w:vAlign w:val="center"/>
          </w:tcPr>
          <w:p w14:paraId="06A4E759">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项目所设定的绩效目标是否依据充分，是否符合客观实际，用以反映和考核项目绩效目标与项目实施的相符情况。</w:t>
            </w:r>
          </w:p>
        </w:tc>
        <w:tc>
          <w:tcPr>
            <w:tcW w:w="1267" w:type="pct"/>
            <w:tcBorders>
              <w:top w:val="nil"/>
              <w:left w:val="nil"/>
              <w:bottom w:val="single" w:color="auto" w:sz="4" w:space="0"/>
              <w:right w:val="single" w:color="auto" w:sz="4" w:space="0"/>
            </w:tcBorders>
            <w:shd w:val="clear" w:color="auto" w:fill="auto"/>
            <w:vAlign w:val="center"/>
          </w:tcPr>
          <w:p w14:paraId="7DE75F0A">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①项目是否有绩效目标；</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②项目绩效目标与实际工作内容是否具有相关性；</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③项目预期产出效益和效果是否符合正常的业绩水平；</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④是否与预算确定的项目投资额或资金量相匹配。</w:t>
            </w:r>
          </w:p>
        </w:tc>
        <w:tc>
          <w:tcPr>
            <w:tcW w:w="845" w:type="pct"/>
            <w:tcBorders>
              <w:top w:val="nil"/>
              <w:left w:val="nil"/>
              <w:bottom w:val="single" w:color="auto" w:sz="4" w:space="0"/>
              <w:right w:val="single" w:color="auto" w:sz="4" w:space="0"/>
            </w:tcBorders>
            <w:shd w:val="clear" w:color="auto" w:fill="auto"/>
            <w:vAlign w:val="center"/>
          </w:tcPr>
          <w:p w14:paraId="7B947863">
            <w:pPr>
              <w:widowControl/>
              <w:ind w:left="-105" w:leftChars="-50" w:right="-105" w:rightChars="-50"/>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①项，绩效目标应设未设的，扣2分；</w:t>
            </w:r>
          </w:p>
          <w:p w14:paraId="6A6E1DEA">
            <w:pPr>
              <w:widowControl/>
              <w:ind w:left="-105" w:leftChars="-50" w:right="-105" w:rightChars="-50"/>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②③④项，有1处不符扣0.5分；</w:t>
            </w:r>
          </w:p>
        </w:tc>
        <w:tc>
          <w:tcPr>
            <w:tcW w:w="347" w:type="pct"/>
            <w:tcBorders>
              <w:top w:val="nil"/>
              <w:left w:val="nil"/>
              <w:bottom w:val="single" w:color="auto" w:sz="4" w:space="0"/>
              <w:right w:val="single" w:color="auto" w:sz="4" w:space="0"/>
            </w:tcBorders>
            <w:shd w:val="clear" w:color="auto" w:fill="auto"/>
            <w:vAlign w:val="center"/>
          </w:tcPr>
          <w:p w14:paraId="378F0CB1">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　</w:t>
            </w:r>
          </w:p>
        </w:tc>
        <w:tc>
          <w:tcPr>
            <w:tcW w:w="190" w:type="pct"/>
            <w:tcBorders>
              <w:top w:val="nil"/>
              <w:left w:val="nil"/>
              <w:bottom w:val="single" w:color="auto" w:sz="4" w:space="0"/>
              <w:right w:val="single" w:color="auto" w:sz="4" w:space="0"/>
            </w:tcBorders>
            <w:shd w:val="clear" w:color="auto" w:fill="auto"/>
            <w:noWrap/>
            <w:vAlign w:val="center"/>
          </w:tcPr>
          <w:p w14:paraId="012CB9DD">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214" w:type="pct"/>
            <w:tcBorders>
              <w:top w:val="nil"/>
              <w:left w:val="nil"/>
              <w:bottom w:val="single" w:color="auto" w:sz="4" w:space="0"/>
              <w:right w:val="single" w:color="auto" w:sz="4" w:space="0"/>
            </w:tcBorders>
            <w:shd w:val="clear" w:color="auto" w:fill="auto"/>
            <w:noWrap/>
            <w:vAlign w:val="center"/>
          </w:tcPr>
          <w:p w14:paraId="3C8782FE">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xml:space="preserve">2.00 </w:t>
            </w:r>
          </w:p>
        </w:tc>
      </w:tr>
      <w:tr w14:paraId="624F31EA">
        <w:tblPrEx>
          <w:tblCellMar>
            <w:top w:w="0" w:type="dxa"/>
            <w:left w:w="108" w:type="dxa"/>
            <w:bottom w:w="0" w:type="dxa"/>
            <w:right w:w="108" w:type="dxa"/>
          </w:tblCellMar>
        </w:tblPrEx>
        <w:trPr>
          <w:trHeight w:val="675" w:hRule="atLeast"/>
        </w:trPr>
        <w:tc>
          <w:tcPr>
            <w:tcW w:w="283" w:type="pct"/>
            <w:vMerge w:val="continue"/>
            <w:tcBorders>
              <w:top w:val="nil"/>
              <w:left w:val="single" w:color="auto" w:sz="4" w:space="0"/>
              <w:bottom w:val="single" w:color="auto" w:sz="4" w:space="0"/>
              <w:right w:val="single" w:color="auto" w:sz="4" w:space="0"/>
            </w:tcBorders>
            <w:vAlign w:val="center"/>
          </w:tcPr>
          <w:p w14:paraId="73F6D89E">
            <w:pPr>
              <w:widowControl/>
              <w:ind w:left="-105" w:leftChars="-50" w:right="-105" w:rightChars="-50"/>
              <w:jc w:val="left"/>
              <w:rPr>
                <w:rFonts w:ascii="宋体" w:hAnsi="宋体" w:eastAsia="宋体" w:cs="Times New Roman"/>
                <w:color w:val="000000"/>
                <w:kern w:val="0"/>
                <w:sz w:val="16"/>
                <w:szCs w:val="18"/>
                <w:highlight w:val="none"/>
              </w:rPr>
            </w:pPr>
          </w:p>
        </w:tc>
        <w:tc>
          <w:tcPr>
            <w:tcW w:w="219" w:type="pct"/>
            <w:vMerge w:val="continue"/>
            <w:tcBorders>
              <w:top w:val="nil"/>
              <w:left w:val="single" w:color="auto" w:sz="4" w:space="0"/>
              <w:bottom w:val="single" w:color="auto" w:sz="4" w:space="0"/>
              <w:right w:val="single" w:color="auto" w:sz="4" w:space="0"/>
            </w:tcBorders>
            <w:vAlign w:val="center"/>
          </w:tcPr>
          <w:p w14:paraId="4974646A">
            <w:pPr>
              <w:widowControl/>
              <w:ind w:left="-105" w:leftChars="-50" w:right="-105" w:rightChars="-50"/>
              <w:jc w:val="left"/>
              <w:rPr>
                <w:rFonts w:ascii="宋体" w:hAnsi="宋体" w:eastAsia="宋体" w:cs="Times New Roman"/>
                <w:color w:val="000000"/>
                <w:kern w:val="0"/>
                <w:sz w:val="16"/>
                <w:szCs w:val="18"/>
                <w:highlight w:val="none"/>
              </w:rPr>
            </w:pPr>
          </w:p>
        </w:tc>
        <w:tc>
          <w:tcPr>
            <w:tcW w:w="397" w:type="pct"/>
            <w:tcBorders>
              <w:top w:val="nil"/>
              <w:left w:val="nil"/>
              <w:bottom w:val="single" w:color="auto" w:sz="4" w:space="0"/>
              <w:right w:val="single" w:color="auto" w:sz="4" w:space="0"/>
            </w:tcBorders>
            <w:shd w:val="clear" w:color="auto" w:fill="auto"/>
            <w:vAlign w:val="center"/>
          </w:tcPr>
          <w:p w14:paraId="44A080C1">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绩效指标明确性</w:t>
            </w:r>
          </w:p>
        </w:tc>
        <w:tc>
          <w:tcPr>
            <w:tcW w:w="179" w:type="pct"/>
            <w:tcBorders>
              <w:top w:val="nil"/>
              <w:left w:val="nil"/>
              <w:bottom w:val="single" w:color="auto" w:sz="4" w:space="0"/>
              <w:right w:val="single" w:color="auto" w:sz="4" w:space="0"/>
            </w:tcBorders>
            <w:shd w:val="clear" w:color="auto" w:fill="auto"/>
            <w:vAlign w:val="center"/>
          </w:tcPr>
          <w:p w14:paraId="0D0BB935">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2</w:t>
            </w:r>
          </w:p>
        </w:tc>
        <w:tc>
          <w:tcPr>
            <w:tcW w:w="1056" w:type="pct"/>
            <w:tcBorders>
              <w:top w:val="nil"/>
              <w:left w:val="nil"/>
              <w:bottom w:val="single" w:color="auto" w:sz="4" w:space="0"/>
              <w:right w:val="single" w:color="auto" w:sz="4" w:space="0"/>
            </w:tcBorders>
            <w:shd w:val="clear" w:color="auto" w:fill="auto"/>
            <w:vAlign w:val="center"/>
          </w:tcPr>
          <w:p w14:paraId="4DD95FFF">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依据绩效目标设定的绩效指标是否清晰、细化、可衡量等，用以反映和考核项目绩效目标的明细化情况。</w:t>
            </w:r>
          </w:p>
        </w:tc>
        <w:tc>
          <w:tcPr>
            <w:tcW w:w="1267" w:type="pct"/>
            <w:tcBorders>
              <w:top w:val="nil"/>
              <w:left w:val="nil"/>
              <w:bottom w:val="single" w:color="auto" w:sz="4" w:space="0"/>
              <w:right w:val="single" w:color="auto" w:sz="4" w:space="0"/>
            </w:tcBorders>
            <w:shd w:val="clear" w:color="auto" w:fill="auto"/>
            <w:vAlign w:val="center"/>
          </w:tcPr>
          <w:p w14:paraId="54D3B3A9">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①是否将项目绩效目标细化分解为具体的绩效指标；</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②是否通过清晰、可衡量的指标值予以体现；</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③是否与项目目标任务数或计划数相对应。</w:t>
            </w:r>
          </w:p>
        </w:tc>
        <w:tc>
          <w:tcPr>
            <w:tcW w:w="845" w:type="pct"/>
            <w:tcBorders>
              <w:top w:val="nil"/>
              <w:left w:val="nil"/>
              <w:bottom w:val="single" w:color="auto" w:sz="4" w:space="0"/>
              <w:right w:val="single" w:color="auto" w:sz="4" w:space="0"/>
            </w:tcBorders>
            <w:shd w:val="clear" w:color="auto" w:fill="auto"/>
            <w:vAlign w:val="center"/>
          </w:tcPr>
          <w:p w14:paraId="633657A5">
            <w:pPr>
              <w:widowControl/>
              <w:ind w:left="-105" w:leftChars="-50" w:right="-105" w:rightChars="-50"/>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有1处不符扣0.5分；</w:t>
            </w:r>
          </w:p>
          <w:p w14:paraId="55F24E44">
            <w:pPr>
              <w:widowControl/>
              <w:ind w:left="-105" w:leftChars="-50" w:right="-105" w:rightChars="-50"/>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绩效目标应设未设的，扣2分。</w:t>
            </w:r>
          </w:p>
        </w:tc>
        <w:tc>
          <w:tcPr>
            <w:tcW w:w="347" w:type="pct"/>
            <w:tcBorders>
              <w:top w:val="nil"/>
              <w:left w:val="nil"/>
              <w:bottom w:val="single" w:color="auto" w:sz="4" w:space="0"/>
              <w:right w:val="single" w:color="auto" w:sz="4" w:space="0"/>
            </w:tcBorders>
            <w:shd w:val="clear" w:color="auto" w:fill="auto"/>
            <w:vAlign w:val="center"/>
          </w:tcPr>
          <w:p w14:paraId="28FFD368">
            <w:pPr>
              <w:widowControl/>
              <w:ind w:left="-105" w:leftChars="-50" w:right="-105" w:rightChars="-50"/>
              <w:jc w:val="left"/>
              <w:rPr>
                <w:rFonts w:ascii="宋体" w:hAnsi="宋体" w:eastAsia="宋体" w:cs="Times New Roman"/>
                <w:color w:val="000000"/>
                <w:kern w:val="0"/>
                <w:sz w:val="16"/>
                <w:szCs w:val="18"/>
                <w:highlight w:val="none"/>
              </w:rPr>
            </w:pPr>
          </w:p>
        </w:tc>
        <w:tc>
          <w:tcPr>
            <w:tcW w:w="190" w:type="pct"/>
            <w:tcBorders>
              <w:top w:val="nil"/>
              <w:left w:val="nil"/>
              <w:bottom w:val="single" w:color="auto" w:sz="4" w:space="0"/>
              <w:right w:val="single" w:color="auto" w:sz="4" w:space="0"/>
            </w:tcBorders>
            <w:shd w:val="clear" w:color="auto" w:fill="auto"/>
            <w:noWrap/>
            <w:vAlign w:val="center"/>
          </w:tcPr>
          <w:p w14:paraId="29506364">
            <w:pPr>
              <w:widowControl/>
              <w:ind w:left="-105" w:leftChars="-50" w:right="-105" w:rightChars="-50"/>
              <w:jc w:val="center"/>
              <w:rPr>
                <w:rFonts w:ascii="Times New Roman" w:hAnsi="Times New Roman" w:eastAsia="宋体" w:cs="Times New Roman"/>
                <w:color w:val="000000"/>
                <w:kern w:val="0"/>
                <w:sz w:val="16"/>
                <w:szCs w:val="18"/>
                <w:highlight w:val="none"/>
              </w:rPr>
            </w:pPr>
          </w:p>
        </w:tc>
        <w:tc>
          <w:tcPr>
            <w:tcW w:w="214" w:type="pct"/>
            <w:tcBorders>
              <w:top w:val="nil"/>
              <w:left w:val="nil"/>
              <w:bottom w:val="single" w:color="auto" w:sz="4" w:space="0"/>
              <w:right w:val="single" w:color="auto" w:sz="4" w:space="0"/>
            </w:tcBorders>
            <w:shd w:val="clear" w:color="auto" w:fill="auto"/>
            <w:noWrap/>
            <w:vAlign w:val="center"/>
          </w:tcPr>
          <w:p w14:paraId="7402EE2E">
            <w:pPr>
              <w:widowControl/>
              <w:ind w:left="-105" w:leftChars="-50" w:right="-105" w:rightChars="-50"/>
              <w:jc w:val="center"/>
              <w:rPr>
                <w:rFonts w:hint="eastAsia" w:ascii="Times New Roman" w:hAnsi="Times New Roman" w:eastAsia="宋体" w:cs="Times New Roman"/>
                <w:color w:val="000000"/>
                <w:kern w:val="0"/>
                <w:sz w:val="16"/>
                <w:szCs w:val="18"/>
                <w:highlight w:val="none"/>
                <w:lang w:eastAsia="zh-CN"/>
              </w:rPr>
            </w:pPr>
            <w:r>
              <w:rPr>
                <w:rFonts w:hint="eastAsia" w:ascii="Times New Roman" w:hAnsi="Times New Roman" w:eastAsia="宋体" w:cs="Times New Roman"/>
                <w:color w:val="000000"/>
                <w:kern w:val="0"/>
                <w:sz w:val="16"/>
                <w:szCs w:val="18"/>
                <w:highlight w:val="none"/>
                <w:lang w:val="en-US" w:eastAsia="zh-CN"/>
              </w:rPr>
              <w:t>2</w:t>
            </w:r>
          </w:p>
        </w:tc>
      </w:tr>
      <w:tr w14:paraId="21B43101">
        <w:tblPrEx>
          <w:tblCellMar>
            <w:top w:w="0" w:type="dxa"/>
            <w:left w:w="108" w:type="dxa"/>
            <w:bottom w:w="0" w:type="dxa"/>
            <w:right w:w="108" w:type="dxa"/>
          </w:tblCellMar>
        </w:tblPrEx>
        <w:trPr>
          <w:trHeight w:val="1125" w:hRule="atLeast"/>
        </w:trPr>
        <w:tc>
          <w:tcPr>
            <w:tcW w:w="283" w:type="pct"/>
            <w:vMerge w:val="continue"/>
            <w:tcBorders>
              <w:top w:val="nil"/>
              <w:left w:val="single" w:color="auto" w:sz="4" w:space="0"/>
              <w:bottom w:val="single" w:color="auto" w:sz="4" w:space="0"/>
              <w:right w:val="single" w:color="auto" w:sz="4" w:space="0"/>
            </w:tcBorders>
            <w:vAlign w:val="center"/>
          </w:tcPr>
          <w:p w14:paraId="40E1F11C">
            <w:pPr>
              <w:widowControl/>
              <w:ind w:left="-105" w:leftChars="-50" w:right="-105" w:rightChars="-50"/>
              <w:jc w:val="left"/>
              <w:rPr>
                <w:rFonts w:ascii="宋体" w:hAnsi="宋体" w:eastAsia="宋体" w:cs="Times New Roman"/>
                <w:color w:val="000000"/>
                <w:kern w:val="0"/>
                <w:sz w:val="16"/>
                <w:szCs w:val="18"/>
                <w:highlight w:val="none"/>
              </w:rPr>
            </w:pPr>
          </w:p>
        </w:tc>
        <w:tc>
          <w:tcPr>
            <w:tcW w:w="219" w:type="pct"/>
            <w:vMerge w:val="restart"/>
            <w:tcBorders>
              <w:top w:val="nil"/>
              <w:left w:val="single" w:color="auto" w:sz="4" w:space="0"/>
              <w:bottom w:val="single" w:color="000000" w:sz="4" w:space="0"/>
              <w:right w:val="single" w:color="auto" w:sz="4" w:space="0"/>
            </w:tcBorders>
            <w:shd w:val="clear" w:color="auto" w:fill="auto"/>
            <w:vAlign w:val="center"/>
          </w:tcPr>
          <w:p w14:paraId="431CC7FB">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资金投入</w:t>
            </w:r>
          </w:p>
        </w:tc>
        <w:tc>
          <w:tcPr>
            <w:tcW w:w="397" w:type="pct"/>
            <w:tcBorders>
              <w:top w:val="nil"/>
              <w:left w:val="nil"/>
              <w:bottom w:val="single" w:color="auto" w:sz="4" w:space="0"/>
              <w:right w:val="single" w:color="auto" w:sz="4" w:space="0"/>
            </w:tcBorders>
            <w:shd w:val="clear" w:color="auto" w:fill="auto"/>
            <w:vAlign w:val="center"/>
          </w:tcPr>
          <w:p w14:paraId="68130611">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预算编制科学性</w:t>
            </w:r>
          </w:p>
        </w:tc>
        <w:tc>
          <w:tcPr>
            <w:tcW w:w="179" w:type="pct"/>
            <w:tcBorders>
              <w:top w:val="nil"/>
              <w:left w:val="nil"/>
              <w:bottom w:val="single" w:color="auto" w:sz="4" w:space="0"/>
              <w:right w:val="single" w:color="auto" w:sz="4" w:space="0"/>
            </w:tcBorders>
            <w:shd w:val="clear" w:color="auto" w:fill="auto"/>
            <w:vAlign w:val="center"/>
          </w:tcPr>
          <w:p w14:paraId="6FAFB141">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2</w:t>
            </w:r>
          </w:p>
        </w:tc>
        <w:tc>
          <w:tcPr>
            <w:tcW w:w="1056" w:type="pct"/>
            <w:tcBorders>
              <w:top w:val="nil"/>
              <w:left w:val="nil"/>
              <w:bottom w:val="single" w:color="auto" w:sz="4" w:space="0"/>
              <w:right w:val="single" w:color="auto" w:sz="4" w:space="0"/>
            </w:tcBorders>
            <w:shd w:val="clear" w:color="auto" w:fill="auto"/>
            <w:vAlign w:val="center"/>
          </w:tcPr>
          <w:p w14:paraId="2B722864">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项目预算编制是否经过科学论证、有明确标准，资金额度与年度目标是否相适应，用以反映和考核项目预算编制的科学性、合理性情况。</w:t>
            </w:r>
          </w:p>
        </w:tc>
        <w:tc>
          <w:tcPr>
            <w:tcW w:w="1267" w:type="pct"/>
            <w:tcBorders>
              <w:top w:val="nil"/>
              <w:left w:val="nil"/>
              <w:bottom w:val="single" w:color="auto" w:sz="4" w:space="0"/>
              <w:right w:val="single" w:color="auto" w:sz="4" w:space="0"/>
            </w:tcBorders>
            <w:shd w:val="clear" w:color="auto" w:fill="auto"/>
            <w:vAlign w:val="center"/>
          </w:tcPr>
          <w:p w14:paraId="5D08AC20">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①预算编制是否经过科学论证；</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②预算内容与项目内容是否匹配；</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③预算额度测算依据是否充分，是否按照标准编制；</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④预算确定的项目投资额或资金量是否与工作任务相匹配。</w:t>
            </w:r>
          </w:p>
        </w:tc>
        <w:tc>
          <w:tcPr>
            <w:tcW w:w="845" w:type="pct"/>
            <w:tcBorders>
              <w:top w:val="nil"/>
              <w:left w:val="nil"/>
              <w:bottom w:val="single" w:color="auto" w:sz="4" w:space="0"/>
              <w:right w:val="single" w:color="auto" w:sz="4" w:space="0"/>
            </w:tcBorders>
            <w:shd w:val="clear" w:color="auto" w:fill="auto"/>
            <w:vAlign w:val="center"/>
          </w:tcPr>
          <w:p w14:paraId="34BD9091">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有1项存在问题扣0.5分。</w:t>
            </w:r>
          </w:p>
        </w:tc>
        <w:tc>
          <w:tcPr>
            <w:tcW w:w="347" w:type="pct"/>
            <w:tcBorders>
              <w:top w:val="nil"/>
              <w:left w:val="nil"/>
              <w:bottom w:val="single" w:color="auto" w:sz="4" w:space="0"/>
              <w:right w:val="single" w:color="auto" w:sz="4" w:space="0"/>
            </w:tcBorders>
            <w:shd w:val="clear" w:color="auto" w:fill="auto"/>
            <w:vAlign w:val="center"/>
          </w:tcPr>
          <w:p w14:paraId="79CC584B">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　</w:t>
            </w:r>
          </w:p>
        </w:tc>
        <w:tc>
          <w:tcPr>
            <w:tcW w:w="190" w:type="pct"/>
            <w:tcBorders>
              <w:top w:val="nil"/>
              <w:left w:val="nil"/>
              <w:bottom w:val="single" w:color="auto" w:sz="4" w:space="0"/>
              <w:right w:val="single" w:color="auto" w:sz="4" w:space="0"/>
            </w:tcBorders>
            <w:shd w:val="clear" w:color="auto" w:fill="auto"/>
            <w:noWrap/>
            <w:vAlign w:val="center"/>
          </w:tcPr>
          <w:p w14:paraId="4FD85D3F">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214" w:type="pct"/>
            <w:tcBorders>
              <w:top w:val="nil"/>
              <w:left w:val="nil"/>
              <w:bottom w:val="single" w:color="auto" w:sz="4" w:space="0"/>
              <w:right w:val="single" w:color="auto" w:sz="4" w:space="0"/>
            </w:tcBorders>
            <w:shd w:val="clear" w:color="auto" w:fill="auto"/>
            <w:noWrap/>
            <w:vAlign w:val="center"/>
          </w:tcPr>
          <w:p w14:paraId="38097A93">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xml:space="preserve">2.00 </w:t>
            </w:r>
          </w:p>
        </w:tc>
      </w:tr>
      <w:tr w14:paraId="2499AB0C">
        <w:tblPrEx>
          <w:tblCellMar>
            <w:top w:w="0" w:type="dxa"/>
            <w:left w:w="108" w:type="dxa"/>
            <w:bottom w:w="0" w:type="dxa"/>
            <w:right w:w="108" w:type="dxa"/>
          </w:tblCellMar>
        </w:tblPrEx>
        <w:trPr>
          <w:trHeight w:val="675" w:hRule="atLeast"/>
        </w:trPr>
        <w:tc>
          <w:tcPr>
            <w:tcW w:w="283" w:type="pct"/>
            <w:vMerge w:val="continue"/>
            <w:tcBorders>
              <w:top w:val="nil"/>
              <w:left w:val="single" w:color="auto" w:sz="4" w:space="0"/>
              <w:bottom w:val="single" w:color="auto" w:sz="4" w:space="0"/>
              <w:right w:val="single" w:color="auto" w:sz="4" w:space="0"/>
            </w:tcBorders>
            <w:vAlign w:val="center"/>
          </w:tcPr>
          <w:p w14:paraId="3B9FCEF5">
            <w:pPr>
              <w:widowControl/>
              <w:ind w:left="-105" w:leftChars="-50" w:right="-105" w:rightChars="-50"/>
              <w:jc w:val="left"/>
              <w:rPr>
                <w:rFonts w:ascii="宋体" w:hAnsi="宋体" w:eastAsia="宋体" w:cs="Times New Roman"/>
                <w:color w:val="000000"/>
                <w:kern w:val="0"/>
                <w:sz w:val="16"/>
                <w:szCs w:val="18"/>
                <w:highlight w:val="none"/>
              </w:rPr>
            </w:pPr>
          </w:p>
        </w:tc>
        <w:tc>
          <w:tcPr>
            <w:tcW w:w="219" w:type="pct"/>
            <w:vMerge w:val="continue"/>
            <w:tcBorders>
              <w:top w:val="nil"/>
              <w:left w:val="single" w:color="auto" w:sz="4" w:space="0"/>
              <w:bottom w:val="single" w:color="000000" w:sz="4" w:space="0"/>
              <w:right w:val="single" w:color="auto" w:sz="4" w:space="0"/>
            </w:tcBorders>
            <w:vAlign w:val="center"/>
          </w:tcPr>
          <w:p w14:paraId="07E8E472">
            <w:pPr>
              <w:widowControl/>
              <w:ind w:left="-105" w:leftChars="-50" w:right="-105" w:rightChars="-50"/>
              <w:jc w:val="left"/>
              <w:rPr>
                <w:rFonts w:ascii="宋体" w:hAnsi="宋体" w:eastAsia="宋体" w:cs="Times New Roman"/>
                <w:color w:val="000000"/>
                <w:kern w:val="0"/>
                <w:sz w:val="16"/>
                <w:szCs w:val="18"/>
                <w:highlight w:val="none"/>
              </w:rPr>
            </w:pPr>
          </w:p>
        </w:tc>
        <w:tc>
          <w:tcPr>
            <w:tcW w:w="397" w:type="pct"/>
            <w:tcBorders>
              <w:top w:val="nil"/>
              <w:left w:val="nil"/>
              <w:bottom w:val="single" w:color="auto" w:sz="4" w:space="0"/>
              <w:right w:val="single" w:color="auto" w:sz="4" w:space="0"/>
            </w:tcBorders>
            <w:shd w:val="clear" w:color="auto" w:fill="auto"/>
            <w:vAlign w:val="center"/>
          </w:tcPr>
          <w:p w14:paraId="5DE78667">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资金分配合理性</w:t>
            </w:r>
          </w:p>
        </w:tc>
        <w:tc>
          <w:tcPr>
            <w:tcW w:w="179" w:type="pct"/>
            <w:tcBorders>
              <w:top w:val="nil"/>
              <w:left w:val="nil"/>
              <w:bottom w:val="single" w:color="auto" w:sz="4" w:space="0"/>
              <w:right w:val="single" w:color="auto" w:sz="4" w:space="0"/>
            </w:tcBorders>
            <w:shd w:val="clear" w:color="auto" w:fill="auto"/>
            <w:vAlign w:val="center"/>
          </w:tcPr>
          <w:p w14:paraId="76DFE303">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2</w:t>
            </w:r>
          </w:p>
        </w:tc>
        <w:tc>
          <w:tcPr>
            <w:tcW w:w="1056" w:type="pct"/>
            <w:tcBorders>
              <w:top w:val="nil"/>
              <w:left w:val="nil"/>
              <w:bottom w:val="single" w:color="auto" w:sz="4" w:space="0"/>
              <w:right w:val="single" w:color="auto" w:sz="4" w:space="0"/>
            </w:tcBorders>
            <w:shd w:val="clear" w:color="auto" w:fill="auto"/>
            <w:vAlign w:val="center"/>
          </w:tcPr>
          <w:p w14:paraId="1752BB10">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项目预算资金分配是否有测算依据，与补助单位或地方实际是否相适应，用以反映和考核预算资金分配的科学性、合理性情况。</w:t>
            </w:r>
          </w:p>
        </w:tc>
        <w:tc>
          <w:tcPr>
            <w:tcW w:w="1267" w:type="pct"/>
            <w:tcBorders>
              <w:top w:val="nil"/>
              <w:left w:val="nil"/>
              <w:bottom w:val="single" w:color="auto" w:sz="4" w:space="0"/>
              <w:right w:val="single" w:color="auto" w:sz="4" w:space="0"/>
            </w:tcBorders>
            <w:shd w:val="clear" w:color="auto" w:fill="auto"/>
            <w:vAlign w:val="center"/>
          </w:tcPr>
          <w:p w14:paraId="55B99840">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①预算资金分配依据是否充分；</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②资金分配额度是否合理，与项目单位或地方实际是否相适应。</w:t>
            </w:r>
          </w:p>
        </w:tc>
        <w:tc>
          <w:tcPr>
            <w:tcW w:w="845" w:type="pct"/>
            <w:tcBorders>
              <w:top w:val="nil"/>
              <w:left w:val="nil"/>
              <w:bottom w:val="single" w:color="auto" w:sz="4" w:space="0"/>
              <w:right w:val="single" w:color="auto" w:sz="4" w:space="0"/>
            </w:tcBorders>
            <w:shd w:val="clear" w:color="auto" w:fill="auto"/>
            <w:vAlign w:val="center"/>
          </w:tcPr>
          <w:p w14:paraId="1BE83D71">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有1项存在问题扣1分。</w:t>
            </w:r>
          </w:p>
        </w:tc>
        <w:tc>
          <w:tcPr>
            <w:tcW w:w="347" w:type="pct"/>
            <w:tcBorders>
              <w:top w:val="nil"/>
              <w:left w:val="nil"/>
              <w:bottom w:val="single" w:color="auto" w:sz="4" w:space="0"/>
              <w:right w:val="single" w:color="auto" w:sz="4" w:space="0"/>
            </w:tcBorders>
            <w:shd w:val="clear" w:color="auto" w:fill="auto"/>
            <w:vAlign w:val="center"/>
          </w:tcPr>
          <w:p w14:paraId="77DDECD2">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　</w:t>
            </w:r>
          </w:p>
        </w:tc>
        <w:tc>
          <w:tcPr>
            <w:tcW w:w="190" w:type="pct"/>
            <w:tcBorders>
              <w:top w:val="nil"/>
              <w:left w:val="nil"/>
              <w:bottom w:val="single" w:color="auto" w:sz="4" w:space="0"/>
              <w:right w:val="single" w:color="auto" w:sz="4" w:space="0"/>
            </w:tcBorders>
            <w:shd w:val="clear" w:color="auto" w:fill="auto"/>
            <w:noWrap/>
            <w:vAlign w:val="center"/>
          </w:tcPr>
          <w:p w14:paraId="061A7E43">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214" w:type="pct"/>
            <w:tcBorders>
              <w:top w:val="nil"/>
              <w:left w:val="nil"/>
              <w:bottom w:val="single" w:color="auto" w:sz="4" w:space="0"/>
              <w:right w:val="single" w:color="auto" w:sz="4" w:space="0"/>
            </w:tcBorders>
            <w:shd w:val="clear" w:color="auto" w:fill="auto"/>
            <w:noWrap/>
            <w:vAlign w:val="center"/>
          </w:tcPr>
          <w:p w14:paraId="5C8D29BE">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xml:space="preserve">2.00 </w:t>
            </w:r>
          </w:p>
        </w:tc>
      </w:tr>
      <w:tr w14:paraId="70E6A0F7">
        <w:tblPrEx>
          <w:tblCellMar>
            <w:top w:w="0" w:type="dxa"/>
            <w:left w:w="108" w:type="dxa"/>
            <w:bottom w:w="0" w:type="dxa"/>
            <w:right w:w="108" w:type="dxa"/>
          </w:tblCellMar>
        </w:tblPrEx>
        <w:trPr>
          <w:trHeight w:val="1125" w:hRule="atLeast"/>
        </w:trPr>
        <w:tc>
          <w:tcPr>
            <w:tcW w:w="283" w:type="pct"/>
            <w:vMerge w:val="restart"/>
            <w:tcBorders>
              <w:top w:val="nil"/>
              <w:left w:val="single" w:color="auto" w:sz="4" w:space="0"/>
              <w:bottom w:val="nil"/>
              <w:right w:val="single" w:color="auto" w:sz="4" w:space="0"/>
            </w:tcBorders>
            <w:shd w:val="clear" w:color="auto" w:fill="auto"/>
            <w:vAlign w:val="center"/>
          </w:tcPr>
          <w:p w14:paraId="72B6FDDC">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过程</w:t>
            </w:r>
          </w:p>
        </w:tc>
        <w:tc>
          <w:tcPr>
            <w:tcW w:w="219" w:type="pct"/>
            <w:vMerge w:val="restart"/>
            <w:tcBorders>
              <w:top w:val="nil"/>
              <w:left w:val="single" w:color="auto" w:sz="4" w:space="0"/>
              <w:bottom w:val="single" w:color="auto" w:sz="4" w:space="0"/>
              <w:right w:val="single" w:color="auto" w:sz="4" w:space="0"/>
            </w:tcBorders>
            <w:shd w:val="clear" w:color="auto" w:fill="auto"/>
            <w:vAlign w:val="center"/>
          </w:tcPr>
          <w:p w14:paraId="5844070F">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资金管理</w:t>
            </w:r>
          </w:p>
        </w:tc>
        <w:tc>
          <w:tcPr>
            <w:tcW w:w="397" w:type="pct"/>
            <w:tcBorders>
              <w:top w:val="nil"/>
              <w:left w:val="nil"/>
              <w:bottom w:val="single" w:color="auto" w:sz="4" w:space="0"/>
              <w:right w:val="single" w:color="auto" w:sz="4" w:space="0"/>
            </w:tcBorders>
            <w:shd w:val="clear" w:color="auto" w:fill="auto"/>
            <w:vAlign w:val="center"/>
          </w:tcPr>
          <w:p w14:paraId="2B522698">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资金到位率</w:t>
            </w:r>
          </w:p>
        </w:tc>
        <w:tc>
          <w:tcPr>
            <w:tcW w:w="179" w:type="pct"/>
            <w:tcBorders>
              <w:top w:val="nil"/>
              <w:left w:val="nil"/>
              <w:bottom w:val="single" w:color="auto" w:sz="4" w:space="0"/>
              <w:right w:val="single" w:color="auto" w:sz="4" w:space="0"/>
            </w:tcBorders>
            <w:shd w:val="clear" w:color="auto" w:fill="auto"/>
            <w:vAlign w:val="center"/>
          </w:tcPr>
          <w:p w14:paraId="15A05B69">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2</w:t>
            </w:r>
          </w:p>
        </w:tc>
        <w:tc>
          <w:tcPr>
            <w:tcW w:w="1056" w:type="pct"/>
            <w:tcBorders>
              <w:top w:val="nil"/>
              <w:left w:val="nil"/>
              <w:bottom w:val="single" w:color="auto" w:sz="4" w:space="0"/>
              <w:right w:val="single" w:color="auto" w:sz="4" w:space="0"/>
            </w:tcBorders>
            <w:shd w:val="clear" w:color="auto" w:fill="auto"/>
            <w:vAlign w:val="center"/>
          </w:tcPr>
          <w:p w14:paraId="3FF4CB64">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实际到位资金与预算资金的比率，用以反映和考核资金落实情况对项目实施的总体保障程度。</w:t>
            </w:r>
          </w:p>
        </w:tc>
        <w:tc>
          <w:tcPr>
            <w:tcW w:w="1267" w:type="pct"/>
            <w:tcBorders>
              <w:top w:val="nil"/>
              <w:left w:val="nil"/>
              <w:bottom w:val="single" w:color="auto" w:sz="4" w:space="0"/>
              <w:right w:val="single" w:color="auto" w:sz="4" w:space="0"/>
            </w:tcBorders>
            <w:shd w:val="clear" w:color="auto" w:fill="auto"/>
            <w:vAlign w:val="center"/>
          </w:tcPr>
          <w:p w14:paraId="46929A8A">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资金到位率=（实际到位资金/预算资金）×100%。</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实际到位资金：一定时期（本年度或项目期）内落实到具体项目的资金。</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预算资金：一定时期（本年度或项目期）内预算安排到具体项目的资金。</w:t>
            </w:r>
          </w:p>
        </w:tc>
        <w:tc>
          <w:tcPr>
            <w:tcW w:w="845" w:type="pct"/>
            <w:tcBorders>
              <w:top w:val="nil"/>
              <w:left w:val="nil"/>
              <w:bottom w:val="single" w:color="auto" w:sz="4" w:space="0"/>
              <w:right w:val="single" w:color="auto" w:sz="4" w:space="0"/>
            </w:tcBorders>
            <w:shd w:val="clear" w:color="auto" w:fill="auto"/>
            <w:vAlign w:val="center"/>
          </w:tcPr>
          <w:p w14:paraId="7D483C46">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资金安排在12月底之前分配完毕，计2分；每下降1个百分点扣0.1分。</w:t>
            </w:r>
          </w:p>
        </w:tc>
        <w:tc>
          <w:tcPr>
            <w:tcW w:w="347" w:type="pct"/>
            <w:tcBorders>
              <w:top w:val="nil"/>
              <w:left w:val="nil"/>
              <w:bottom w:val="single" w:color="auto" w:sz="4" w:space="0"/>
              <w:right w:val="single" w:color="auto" w:sz="4" w:space="0"/>
            </w:tcBorders>
            <w:shd w:val="clear" w:color="auto" w:fill="auto"/>
            <w:vAlign w:val="center"/>
          </w:tcPr>
          <w:p w14:paraId="295AE969">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　</w:t>
            </w:r>
          </w:p>
        </w:tc>
        <w:tc>
          <w:tcPr>
            <w:tcW w:w="190" w:type="pct"/>
            <w:tcBorders>
              <w:top w:val="nil"/>
              <w:left w:val="nil"/>
              <w:bottom w:val="single" w:color="auto" w:sz="4" w:space="0"/>
              <w:right w:val="single" w:color="auto" w:sz="4" w:space="0"/>
            </w:tcBorders>
            <w:shd w:val="clear" w:color="auto" w:fill="auto"/>
            <w:noWrap/>
            <w:vAlign w:val="center"/>
          </w:tcPr>
          <w:p w14:paraId="36CA5328">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214" w:type="pct"/>
            <w:tcBorders>
              <w:top w:val="nil"/>
              <w:left w:val="nil"/>
              <w:bottom w:val="single" w:color="auto" w:sz="4" w:space="0"/>
              <w:right w:val="single" w:color="auto" w:sz="4" w:space="0"/>
            </w:tcBorders>
            <w:shd w:val="clear" w:color="auto" w:fill="auto"/>
            <w:noWrap/>
            <w:vAlign w:val="center"/>
          </w:tcPr>
          <w:p w14:paraId="78D3F890">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xml:space="preserve">2.00 </w:t>
            </w:r>
          </w:p>
        </w:tc>
      </w:tr>
      <w:tr w14:paraId="521108BF">
        <w:tblPrEx>
          <w:tblCellMar>
            <w:top w:w="0" w:type="dxa"/>
            <w:left w:w="108" w:type="dxa"/>
            <w:bottom w:w="0" w:type="dxa"/>
            <w:right w:w="108" w:type="dxa"/>
          </w:tblCellMar>
        </w:tblPrEx>
        <w:trPr>
          <w:trHeight w:val="675" w:hRule="atLeast"/>
        </w:trPr>
        <w:tc>
          <w:tcPr>
            <w:tcW w:w="283" w:type="pct"/>
            <w:vMerge w:val="continue"/>
            <w:tcBorders>
              <w:top w:val="nil"/>
              <w:left w:val="single" w:color="auto" w:sz="4" w:space="0"/>
              <w:bottom w:val="nil"/>
              <w:right w:val="single" w:color="auto" w:sz="4" w:space="0"/>
            </w:tcBorders>
            <w:vAlign w:val="center"/>
          </w:tcPr>
          <w:p w14:paraId="0591ADAA">
            <w:pPr>
              <w:widowControl/>
              <w:ind w:left="-105" w:leftChars="-50" w:right="-105" w:rightChars="-50"/>
              <w:jc w:val="left"/>
              <w:rPr>
                <w:rFonts w:ascii="宋体" w:hAnsi="宋体" w:eastAsia="宋体" w:cs="Times New Roman"/>
                <w:color w:val="000000"/>
                <w:kern w:val="0"/>
                <w:sz w:val="16"/>
                <w:szCs w:val="18"/>
                <w:highlight w:val="none"/>
              </w:rPr>
            </w:pPr>
          </w:p>
        </w:tc>
        <w:tc>
          <w:tcPr>
            <w:tcW w:w="219" w:type="pct"/>
            <w:vMerge w:val="continue"/>
            <w:tcBorders>
              <w:top w:val="nil"/>
              <w:left w:val="single" w:color="auto" w:sz="4" w:space="0"/>
              <w:bottom w:val="single" w:color="auto" w:sz="4" w:space="0"/>
              <w:right w:val="single" w:color="auto" w:sz="4" w:space="0"/>
            </w:tcBorders>
            <w:vAlign w:val="center"/>
          </w:tcPr>
          <w:p w14:paraId="720C5804">
            <w:pPr>
              <w:widowControl/>
              <w:ind w:left="-105" w:leftChars="-50" w:right="-105" w:rightChars="-50"/>
              <w:jc w:val="left"/>
              <w:rPr>
                <w:rFonts w:ascii="宋体" w:hAnsi="宋体" w:eastAsia="宋体" w:cs="Times New Roman"/>
                <w:color w:val="000000"/>
                <w:kern w:val="0"/>
                <w:sz w:val="16"/>
                <w:szCs w:val="18"/>
                <w:highlight w:val="none"/>
              </w:rPr>
            </w:pPr>
          </w:p>
        </w:tc>
        <w:tc>
          <w:tcPr>
            <w:tcW w:w="397" w:type="pct"/>
            <w:tcBorders>
              <w:top w:val="nil"/>
              <w:left w:val="nil"/>
              <w:bottom w:val="single" w:color="auto" w:sz="4" w:space="0"/>
              <w:right w:val="single" w:color="auto" w:sz="4" w:space="0"/>
            </w:tcBorders>
            <w:shd w:val="clear" w:color="auto" w:fill="auto"/>
            <w:vAlign w:val="center"/>
          </w:tcPr>
          <w:p w14:paraId="25DEA2DC">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预算执行率</w:t>
            </w:r>
          </w:p>
        </w:tc>
        <w:tc>
          <w:tcPr>
            <w:tcW w:w="179" w:type="pct"/>
            <w:tcBorders>
              <w:top w:val="nil"/>
              <w:left w:val="nil"/>
              <w:bottom w:val="single" w:color="auto" w:sz="4" w:space="0"/>
              <w:right w:val="single" w:color="auto" w:sz="4" w:space="0"/>
            </w:tcBorders>
            <w:shd w:val="clear" w:color="auto" w:fill="auto"/>
            <w:vAlign w:val="center"/>
          </w:tcPr>
          <w:p w14:paraId="61C24501">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2</w:t>
            </w:r>
          </w:p>
        </w:tc>
        <w:tc>
          <w:tcPr>
            <w:tcW w:w="1056" w:type="pct"/>
            <w:tcBorders>
              <w:top w:val="nil"/>
              <w:left w:val="nil"/>
              <w:bottom w:val="single" w:color="auto" w:sz="4" w:space="0"/>
              <w:right w:val="single" w:color="auto" w:sz="4" w:space="0"/>
            </w:tcBorders>
            <w:shd w:val="clear" w:color="auto" w:fill="auto"/>
            <w:vAlign w:val="center"/>
          </w:tcPr>
          <w:p w14:paraId="3CFBC8A3">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项目预算资金是否按照计划执行，用以反映或考核项目预算执行情况。</w:t>
            </w:r>
          </w:p>
        </w:tc>
        <w:tc>
          <w:tcPr>
            <w:tcW w:w="1267" w:type="pct"/>
            <w:tcBorders>
              <w:top w:val="nil"/>
              <w:left w:val="nil"/>
              <w:bottom w:val="single" w:color="auto" w:sz="4" w:space="0"/>
              <w:right w:val="single" w:color="auto" w:sz="4" w:space="0"/>
            </w:tcBorders>
            <w:shd w:val="clear" w:color="auto" w:fill="auto"/>
            <w:vAlign w:val="center"/>
          </w:tcPr>
          <w:p w14:paraId="00892A99">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预算执行率=（实际支出资金/实际到位资金）×100%。</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实际支出资金：一定时期（本年度或项目期）内项目实际拨付的资金。</w:t>
            </w:r>
          </w:p>
        </w:tc>
        <w:tc>
          <w:tcPr>
            <w:tcW w:w="845" w:type="pct"/>
            <w:tcBorders>
              <w:top w:val="nil"/>
              <w:left w:val="nil"/>
              <w:bottom w:val="single" w:color="auto" w:sz="4" w:space="0"/>
              <w:right w:val="single" w:color="auto" w:sz="4" w:space="0"/>
            </w:tcBorders>
            <w:shd w:val="clear" w:color="auto" w:fill="auto"/>
            <w:vAlign w:val="center"/>
          </w:tcPr>
          <w:p w14:paraId="1F0E8248">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以支付系统数据为准，执行率=100%，计2分；≥90%，得1分；＜90，不得分。。</w:t>
            </w:r>
          </w:p>
        </w:tc>
        <w:tc>
          <w:tcPr>
            <w:tcW w:w="347" w:type="pct"/>
            <w:tcBorders>
              <w:top w:val="nil"/>
              <w:left w:val="nil"/>
              <w:bottom w:val="single" w:color="auto" w:sz="4" w:space="0"/>
              <w:right w:val="single" w:color="auto" w:sz="4" w:space="0"/>
            </w:tcBorders>
            <w:shd w:val="clear" w:color="auto" w:fill="auto"/>
            <w:vAlign w:val="center"/>
          </w:tcPr>
          <w:p w14:paraId="4F702A64">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预算执行率99.</w:t>
            </w:r>
            <w:r>
              <w:rPr>
                <w:rFonts w:hint="eastAsia" w:ascii="宋体" w:hAnsi="宋体" w:eastAsia="宋体" w:cs="Times New Roman"/>
                <w:color w:val="000000"/>
                <w:kern w:val="0"/>
                <w:sz w:val="16"/>
                <w:szCs w:val="18"/>
                <w:highlight w:val="none"/>
                <w:lang w:val="en-US" w:eastAsia="zh-CN"/>
              </w:rPr>
              <w:t>85</w:t>
            </w:r>
            <w:r>
              <w:rPr>
                <w:rFonts w:hint="eastAsia" w:ascii="宋体" w:hAnsi="宋体" w:eastAsia="宋体" w:cs="Times New Roman"/>
                <w:color w:val="000000"/>
                <w:kern w:val="0"/>
                <w:sz w:val="16"/>
                <w:szCs w:val="18"/>
                <w:highlight w:val="none"/>
              </w:rPr>
              <w:t>%，扣1分。</w:t>
            </w:r>
          </w:p>
        </w:tc>
        <w:tc>
          <w:tcPr>
            <w:tcW w:w="190" w:type="pct"/>
            <w:tcBorders>
              <w:top w:val="nil"/>
              <w:left w:val="nil"/>
              <w:bottom w:val="single" w:color="auto" w:sz="4" w:space="0"/>
              <w:right w:val="single" w:color="auto" w:sz="4" w:space="0"/>
            </w:tcBorders>
            <w:shd w:val="clear" w:color="auto" w:fill="auto"/>
            <w:noWrap/>
            <w:vAlign w:val="center"/>
          </w:tcPr>
          <w:p w14:paraId="6C1B0DE0">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Times New Roman" w:hAnsi="Times New Roman" w:eastAsia="宋体" w:cs="Times New Roman"/>
                <w:color w:val="000000"/>
                <w:kern w:val="0"/>
                <w:sz w:val="16"/>
                <w:szCs w:val="18"/>
                <w:highlight w:val="none"/>
              </w:rPr>
              <w:t>1</w:t>
            </w:r>
          </w:p>
        </w:tc>
        <w:tc>
          <w:tcPr>
            <w:tcW w:w="214" w:type="pct"/>
            <w:tcBorders>
              <w:top w:val="nil"/>
              <w:left w:val="nil"/>
              <w:bottom w:val="single" w:color="auto" w:sz="4" w:space="0"/>
              <w:right w:val="single" w:color="auto" w:sz="4" w:space="0"/>
            </w:tcBorders>
            <w:shd w:val="clear" w:color="auto" w:fill="auto"/>
            <w:noWrap/>
            <w:vAlign w:val="center"/>
          </w:tcPr>
          <w:p w14:paraId="13D7C20E">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Times New Roman" w:hAnsi="Times New Roman" w:eastAsia="宋体" w:cs="Times New Roman"/>
                <w:color w:val="000000"/>
                <w:kern w:val="0"/>
                <w:sz w:val="16"/>
                <w:szCs w:val="18"/>
                <w:highlight w:val="none"/>
              </w:rPr>
              <w:t>1.00</w:t>
            </w:r>
          </w:p>
        </w:tc>
      </w:tr>
      <w:tr w14:paraId="3D2EAE3C">
        <w:tblPrEx>
          <w:tblCellMar>
            <w:top w:w="0" w:type="dxa"/>
            <w:left w:w="108" w:type="dxa"/>
            <w:bottom w:w="0" w:type="dxa"/>
            <w:right w:w="108" w:type="dxa"/>
          </w:tblCellMar>
        </w:tblPrEx>
        <w:trPr>
          <w:trHeight w:val="1125" w:hRule="atLeast"/>
        </w:trPr>
        <w:tc>
          <w:tcPr>
            <w:tcW w:w="283" w:type="pct"/>
            <w:vMerge w:val="continue"/>
            <w:tcBorders>
              <w:top w:val="nil"/>
              <w:left w:val="single" w:color="auto" w:sz="4" w:space="0"/>
              <w:bottom w:val="nil"/>
              <w:right w:val="single" w:color="auto" w:sz="4" w:space="0"/>
            </w:tcBorders>
            <w:vAlign w:val="center"/>
          </w:tcPr>
          <w:p w14:paraId="5EA25250">
            <w:pPr>
              <w:widowControl/>
              <w:ind w:left="-105" w:leftChars="-50" w:right="-105" w:rightChars="-50"/>
              <w:jc w:val="left"/>
              <w:rPr>
                <w:rFonts w:ascii="宋体" w:hAnsi="宋体" w:eastAsia="宋体" w:cs="Times New Roman"/>
                <w:color w:val="000000"/>
                <w:kern w:val="0"/>
                <w:sz w:val="16"/>
                <w:szCs w:val="18"/>
                <w:highlight w:val="none"/>
              </w:rPr>
            </w:pPr>
          </w:p>
        </w:tc>
        <w:tc>
          <w:tcPr>
            <w:tcW w:w="219" w:type="pct"/>
            <w:vMerge w:val="continue"/>
            <w:tcBorders>
              <w:top w:val="nil"/>
              <w:left w:val="single" w:color="auto" w:sz="4" w:space="0"/>
              <w:bottom w:val="single" w:color="auto" w:sz="4" w:space="0"/>
              <w:right w:val="single" w:color="auto" w:sz="4" w:space="0"/>
            </w:tcBorders>
            <w:vAlign w:val="center"/>
          </w:tcPr>
          <w:p w14:paraId="42D2D2CD">
            <w:pPr>
              <w:widowControl/>
              <w:ind w:left="-105" w:leftChars="-50" w:right="-105" w:rightChars="-50"/>
              <w:jc w:val="left"/>
              <w:rPr>
                <w:rFonts w:ascii="宋体" w:hAnsi="宋体" w:eastAsia="宋体" w:cs="Times New Roman"/>
                <w:color w:val="000000"/>
                <w:kern w:val="0"/>
                <w:sz w:val="16"/>
                <w:szCs w:val="18"/>
                <w:highlight w:val="none"/>
              </w:rPr>
            </w:pPr>
          </w:p>
        </w:tc>
        <w:tc>
          <w:tcPr>
            <w:tcW w:w="397" w:type="pct"/>
            <w:tcBorders>
              <w:top w:val="nil"/>
              <w:left w:val="nil"/>
              <w:bottom w:val="single" w:color="auto" w:sz="4" w:space="0"/>
              <w:right w:val="single" w:color="auto" w:sz="4" w:space="0"/>
            </w:tcBorders>
            <w:shd w:val="clear" w:color="auto" w:fill="auto"/>
            <w:vAlign w:val="center"/>
          </w:tcPr>
          <w:p w14:paraId="7A82E810">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资金使用合规性</w:t>
            </w:r>
          </w:p>
        </w:tc>
        <w:tc>
          <w:tcPr>
            <w:tcW w:w="179" w:type="pct"/>
            <w:tcBorders>
              <w:top w:val="nil"/>
              <w:left w:val="nil"/>
              <w:bottom w:val="single" w:color="auto" w:sz="4" w:space="0"/>
              <w:right w:val="single" w:color="auto" w:sz="4" w:space="0"/>
            </w:tcBorders>
            <w:shd w:val="clear" w:color="auto" w:fill="auto"/>
            <w:vAlign w:val="center"/>
          </w:tcPr>
          <w:p w14:paraId="6ADE1912">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5</w:t>
            </w:r>
          </w:p>
        </w:tc>
        <w:tc>
          <w:tcPr>
            <w:tcW w:w="1056" w:type="pct"/>
            <w:tcBorders>
              <w:top w:val="nil"/>
              <w:left w:val="nil"/>
              <w:bottom w:val="single" w:color="auto" w:sz="4" w:space="0"/>
              <w:right w:val="single" w:color="auto" w:sz="4" w:space="0"/>
            </w:tcBorders>
            <w:shd w:val="clear" w:color="auto" w:fill="auto"/>
            <w:vAlign w:val="center"/>
          </w:tcPr>
          <w:p w14:paraId="3FF77AC2">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项目资金使用符合相关的财务管理制度规定，用以反映和考核项目资金的规范运行情况。</w:t>
            </w:r>
          </w:p>
        </w:tc>
        <w:tc>
          <w:tcPr>
            <w:tcW w:w="1267" w:type="pct"/>
            <w:tcBorders>
              <w:top w:val="nil"/>
              <w:left w:val="nil"/>
              <w:bottom w:val="single" w:color="auto" w:sz="4" w:space="0"/>
              <w:right w:val="single" w:color="auto" w:sz="4" w:space="0"/>
            </w:tcBorders>
            <w:shd w:val="clear" w:color="auto" w:fill="auto"/>
            <w:vAlign w:val="center"/>
          </w:tcPr>
          <w:p w14:paraId="420A8C33">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①是否符合国家财经法规和财务管理制度以及有关专项资金管理办法的规定；</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②资金的支付是否有完整的审批程序和手续；</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③是否符合项目预算批复或合同规定的用途；</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④是否存在截留、挤占、挪用、虚列支出等情况；</w:t>
            </w:r>
          </w:p>
        </w:tc>
        <w:tc>
          <w:tcPr>
            <w:tcW w:w="845" w:type="pct"/>
            <w:tcBorders>
              <w:top w:val="nil"/>
              <w:left w:val="nil"/>
              <w:bottom w:val="single" w:color="auto" w:sz="4" w:space="0"/>
              <w:right w:val="single" w:color="auto" w:sz="4" w:space="0"/>
            </w:tcBorders>
            <w:shd w:val="clear" w:color="auto" w:fill="auto"/>
            <w:vAlign w:val="center"/>
          </w:tcPr>
          <w:p w14:paraId="547238A1">
            <w:pPr>
              <w:keepNext w:val="0"/>
              <w:keepLines w:val="0"/>
              <w:pageBreakBefore w:val="0"/>
              <w:widowControl/>
              <w:kinsoku/>
              <w:wordWrap/>
              <w:overflowPunct/>
              <w:topLinePunct w:val="0"/>
              <w:autoSpaceDE/>
              <w:autoSpaceDN/>
              <w:bidi w:val="0"/>
              <w:adjustRightInd/>
              <w:snapToGrid/>
              <w:spacing w:line="300" w:lineRule="exact"/>
              <w:ind w:right="-105" w:rightChars="-50"/>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①②③项，每发现1例扣0.5分；</w:t>
            </w:r>
          </w:p>
          <w:p w14:paraId="1519268C">
            <w:pPr>
              <w:keepNext w:val="0"/>
              <w:keepLines w:val="0"/>
              <w:pageBreakBefore w:val="0"/>
              <w:widowControl/>
              <w:kinsoku/>
              <w:wordWrap/>
              <w:overflowPunct/>
              <w:topLinePunct w:val="0"/>
              <w:autoSpaceDE/>
              <w:autoSpaceDN/>
              <w:bidi w:val="0"/>
              <w:adjustRightInd/>
              <w:snapToGrid/>
              <w:spacing w:line="300" w:lineRule="exact"/>
              <w:ind w:right="-105" w:rightChars="-50"/>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④项，每发现1例扣5分；</w:t>
            </w:r>
          </w:p>
          <w:p w14:paraId="14135AB4">
            <w:pPr>
              <w:keepNext w:val="0"/>
              <w:keepLines w:val="0"/>
              <w:pageBreakBefore w:val="0"/>
              <w:widowControl/>
              <w:kinsoku/>
              <w:wordWrap/>
              <w:overflowPunct/>
              <w:topLinePunct w:val="0"/>
              <w:autoSpaceDE/>
              <w:autoSpaceDN/>
              <w:bidi w:val="0"/>
              <w:adjustRightInd/>
              <w:snapToGrid/>
              <w:spacing w:line="300" w:lineRule="exact"/>
              <w:ind w:right="-105" w:rightChars="-50"/>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情节特别严重的，等级直接定为“差”。</w:t>
            </w:r>
          </w:p>
        </w:tc>
        <w:tc>
          <w:tcPr>
            <w:tcW w:w="347" w:type="pct"/>
            <w:tcBorders>
              <w:top w:val="nil"/>
              <w:left w:val="nil"/>
              <w:bottom w:val="single" w:color="auto" w:sz="4" w:space="0"/>
              <w:right w:val="single" w:color="auto" w:sz="4" w:space="0"/>
            </w:tcBorders>
            <w:shd w:val="clear" w:color="auto" w:fill="auto"/>
            <w:vAlign w:val="center"/>
          </w:tcPr>
          <w:p w14:paraId="7D497957">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　</w:t>
            </w:r>
          </w:p>
        </w:tc>
        <w:tc>
          <w:tcPr>
            <w:tcW w:w="190" w:type="pct"/>
            <w:tcBorders>
              <w:top w:val="nil"/>
              <w:left w:val="nil"/>
              <w:bottom w:val="single" w:color="auto" w:sz="4" w:space="0"/>
              <w:right w:val="single" w:color="auto" w:sz="4" w:space="0"/>
            </w:tcBorders>
            <w:shd w:val="clear" w:color="auto" w:fill="auto"/>
            <w:noWrap/>
            <w:vAlign w:val="center"/>
          </w:tcPr>
          <w:p w14:paraId="2493935B">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214" w:type="pct"/>
            <w:tcBorders>
              <w:top w:val="nil"/>
              <w:left w:val="nil"/>
              <w:bottom w:val="single" w:color="auto" w:sz="4" w:space="0"/>
              <w:right w:val="single" w:color="auto" w:sz="4" w:space="0"/>
            </w:tcBorders>
            <w:shd w:val="clear" w:color="auto" w:fill="auto"/>
            <w:noWrap/>
            <w:vAlign w:val="center"/>
          </w:tcPr>
          <w:p w14:paraId="2F71ED1E">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xml:space="preserve">5.00 </w:t>
            </w:r>
          </w:p>
        </w:tc>
      </w:tr>
      <w:tr w14:paraId="20372F1F">
        <w:tblPrEx>
          <w:tblCellMar>
            <w:top w:w="0" w:type="dxa"/>
            <w:left w:w="108" w:type="dxa"/>
            <w:bottom w:w="0" w:type="dxa"/>
            <w:right w:w="108" w:type="dxa"/>
          </w:tblCellMar>
        </w:tblPrEx>
        <w:trPr>
          <w:trHeight w:val="315" w:hRule="atLeast"/>
        </w:trPr>
        <w:tc>
          <w:tcPr>
            <w:tcW w:w="283" w:type="pct"/>
            <w:vMerge w:val="continue"/>
            <w:tcBorders>
              <w:top w:val="nil"/>
              <w:left w:val="single" w:color="auto" w:sz="4" w:space="0"/>
              <w:bottom w:val="nil"/>
              <w:right w:val="single" w:color="auto" w:sz="4" w:space="0"/>
            </w:tcBorders>
            <w:vAlign w:val="center"/>
          </w:tcPr>
          <w:p w14:paraId="2F72E86B">
            <w:pPr>
              <w:widowControl/>
              <w:ind w:left="-105" w:leftChars="-50" w:right="-105" w:rightChars="-50"/>
              <w:jc w:val="left"/>
              <w:rPr>
                <w:rFonts w:ascii="宋体" w:hAnsi="宋体" w:eastAsia="宋体" w:cs="Times New Roman"/>
                <w:color w:val="000000"/>
                <w:kern w:val="0"/>
                <w:sz w:val="16"/>
                <w:szCs w:val="18"/>
                <w:highlight w:val="none"/>
              </w:rPr>
            </w:pPr>
          </w:p>
        </w:tc>
        <w:tc>
          <w:tcPr>
            <w:tcW w:w="219" w:type="pct"/>
            <w:vMerge w:val="restart"/>
            <w:tcBorders>
              <w:top w:val="nil"/>
              <w:left w:val="single" w:color="auto" w:sz="4" w:space="0"/>
              <w:bottom w:val="single" w:color="000000" w:sz="4" w:space="0"/>
              <w:right w:val="single" w:color="auto" w:sz="4" w:space="0"/>
            </w:tcBorders>
            <w:shd w:val="clear" w:color="auto" w:fill="auto"/>
            <w:vAlign w:val="center"/>
          </w:tcPr>
          <w:p w14:paraId="04FB50A2">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组织实施</w:t>
            </w:r>
          </w:p>
        </w:tc>
        <w:tc>
          <w:tcPr>
            <w:tcW w:w="397" w:type="pct"/>
            <w:tcBorders>
              <w:top w:val="nil"/>
              <w:left w:val="nil"/>
              <w:bottom w:val="single" w:color="auto" w:sz="4" w:space="0"/>
              <w:right w:val="single" w:color="auto" w:sz="4" w:space="0"/>
            </w:tcBorders>
            <w:shd w:val="clear" w:color="auto" w:fill="auto"/>
            <w:vAlign w:val="center"/>
          </w:tcPr>
          <w:p w14:paraId="04BEF8E5">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管理制度健全性</w:t>
            </w:r>
          </w:p>
        </w:tc>
        <w:tc>
          <w:tcPr>
            <w:tcW w:w="179" w:type="pct"/>
            <w:tcBorders>
              <w:top w:val="nil"/>
              <w:left w:val="nil"/>
              <w:bottom w:val="single" w:color="auto" w:sz="4" w:space="0"/>
              <w:right w:val="single" w:color="auto" w:sz="4" w:space="0"/>
            </w:tcBorders>
            <w:shd w:val="clear" w:color="auto" w:fill="auto"/>
            <w:vAlign w:val="center"/>
          </w:tcPr>
          <w:p w14:paraId="07E262EF">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2</w:t>
            </w:r>
          </w:p>
        </w:tc>
        <w:tc>
          <w:tcPr>
            <w:tcW w:w="1056" w:type="pct"/>
            <w:tcBorders>
              <w:top w:val="nil"/>
              <w:left w:val="nil"/>
              <w:bottom w:val="single" w:color="auto" w:sz="4" w:space="0"/>
              <w:right w:val="single" w:color="auto" w:sz="4" w:space="0"/>
            </w:tcBorders>
            <w:shd w:val="clear" w:color="auto" w:fill="auto"/>
            <w:vAlign w:val="center"/>
          </w:tcPr>
          <w:p w14:paraId="0209D28F">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项目实施单位的财务和业务管理制度是否健全，用以反映和考核财务和业务管理制度对项目顺利实施的保障情况。</w:t>
            </w:r>
          </w:p>
        </w:tc>
        <w:tc>
          <w:tcPr>
            <w:tcW w:w="1267" w:type="pct"/>
            <w:tcBorders>
              <w:top w:val="nil"/>
              <w:left w:val="nil"/>
              <w:bottom w:val="single" w:color="auto" w:sz="4" w:space="0"/>
              <w:right w:val="single" w:color="auto" w:sz="4" w:space="0"/>
            </w:tcBorders>
            <w:shd w:val="clear" w:color="auto" w:fill="auto"/>
            <w:vAlign w:val="center"/>
          </w:tcPr>
          <w:p w14:paraId="001DDA7F">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①是否已制定或具有相应的财务和业务管理制度；</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②财务和业务管理制度是否合法、合规、完整。</w:t>
            </w:r>
          </w:p>
        </w:tc>
        <w:tc>
          <w:tcPr>
            <w:tcW w:w="845" w:type="pct"/>
            <w:tcBorders>
              <w:top w:val="nil"/>
              <w:left w:val="nil"/>
              <w:bottom w:val="single" w:color="auto" w:sz="4" w:space="0"/>
              <w:right w:val="single" w:color="auto" w:sz="4" w:space="0"/>
            </w:tcBorders>
            <w:shd w:val="clear" w:color="auto" w:fill="auto"/>
            <w:vAlign w:val="center"/>
          </w:tcPr>
          <w:p w14:paraId="507B773C">
            <w:pPr>
              <w:pStyle w:val="24"/>
              <w:widowControl/>
              <w:numPr>
                <w:ilvl w:val="0"/>
                <w:numId w:val="1"/>
              </w:numPr>
              <w:ind w:right="-105" w:rightChars="-50" w:firstLineChars="0"/>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②各1分，酌情扣分。</w:t>
            </w:r>
          </w:p>
        </w:tc>
        <w:tc>
          <w:tcPr>
            <w:tcW w:w="347" w:type="pct"/>
            <w:tcBorders>
              <w:top w:val="nil"/>
              <w:left w:val="nil"/>
              <w:bottom w:val="single" w:color="auto" w:sz="4" w:space="0"/>
              <w:right w:val="single" w:color="auto" w:sz="4" w:space="0"/>
            </w:tcBorders>
            <w:shd w:val="clear" w:color="auto" w:fill="auto"/>
            <w:vAlign w:val="center"/>
          </w:tcPr>
          <w:p w14:paraId="6D073E3C">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　</w:t>
            </w:r>
          </w:p>
        </w:tc>
        <w:tc>
          <w:tcPr>
            <w:tcW w:w="190" w:type="pct"/>
            <w:tcBorders>
              <w:top w:val="nil"/>
              <w:left w:val="nil"/>
              <w:bottom w:val="single" w:color="auto" w:sz="4" w:space="0"/>
              <w:right w:val="single" w:color="auto" w:sz="4" w:space="0"/>
            </w:tcBorders>
            <w:shd w:val="clear" w:color="auto" w:fill="auto"/>
            <w:noWrap/>
            <w:vAlign w:val="center"/>
          </w:tcPr>
          <w:p w14:paraId="491757D5">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214" w:type="pct"/>
            <w:tcBorders>
              <w:top w:val="nil"/>
              <w:left w:val="nil"/>
              <w:bottom w:val="single" w:color="auto" w:sz="4" w:space="0"/>
              <w:right w:val="single" w:color="auto" w:sz="4" w:space="0"/>
            </w:tcBorders>
            <w:shd w:val="clear" w:color="auto" w:fill="auto"/>
            <w:noWrap/>
            <w:vAlign w:val="center"/>
          </w:tcPr>
          <w:p w14:paraId="2D351041">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xml:space="preserve">2.00 </w:t>
            </w:r>
          </w:p>
        </w:tc>
      </w:tr>
      <w:tr w14:paraId="1CF37212">
        <w:tblPrEx>
          <w:tblCellMar>
            <w:top w:w="0" w:type="dxa"/>
            <w:left w:w="108" w:type="dxa"/>
            <w:bottom w:w="0" w:type="dxa"/>
            <w:right w:w="108" w:type="dxa"/>
          </w:tblCellMar>
        </w:tblPrEx>
        <w:trPr>
          <w:trHeight w:val="1443" w:hRule="atLeast"/>
        </w:trPr>
        <w:tc>
          <w:tcPr>
            <w:tcW w:w="283" w:type="pct"/>
            <w:vMerge w:val="continue"/>
            <w:tcBorders>
              <w:top w:val="nil"/>
              <w:left w:val="single" w:color="auto" w:sz="4" w:space="0"/>
              <w:bottom w:val="nil"/>
              <w:right w:val="single" w:color="auto" w:sz="4" w:space="0"/>
            </w:tcBorders>
            <w:vAlign w:val="center"/>
          </w:tcPr>
          <w:p w14:paraId="736BF43A">
            <w:pPr>
              <w:widowControl/>
              <w:ind w:left="-105" w:leftChars="-50" w:right="-105" w:rightChars="-50"/>
              <w:jc w:val="left"/>
              <w:rPr>
                <w:rFonts w:ascii="宋体" w:hAnsi="宋体" w:eastAsia="宋体" w:cs="Times New Roman"/>
                <w:color w:val="000000"/>
                <w:kern w:val="0"/>
                <w:sz w:val="16"/>
                <w:szCs w:val="18"/>
                <w:highlight w:val="none"/>
              </w:rPr>
            </w:pPr>
          </w:p>
        </w:tc>
        <w:tc>
          <w:tcPr>
            <w:tcW w:w="219" w:type="pct"/>
            <w:vMerge w:val="continue"/>
            <w:tcBorders>
              <w:top w:val="nil"/>
              <w:left w:val="single" w:color="auto" w:sz="4" w:space="0"/>
              <w:bottom w:val="single" w:color="000000" w:sz="4" w:space="0"/>
              <w:right w:val="single" w:color="auto" w:sz="4" w:space="0"/>
            </w:tcBorders>
            <w:vAlign w:val="center"/>
          </w:tcPr>
          <w:p w14:paraId="20B92F32">
            <w:pPr>
              <w:widowControl/>
              <w:ind w:left="-105" w:leftChars="-50" w:right="-105" w:rightChars="-50"/>
              <w:jc w:val="left"/>
              <w:rPr>
                <w:rFonts w:ascii="宋体" w:hAnsi="宋体" w:eastAsia="宋体" w:cs="Times New Roman"/>
                <w:color w:val="000000"/>
                <w:kern w:val="0"/>
                <w:sz w:val="16"/>
                <w:szCs w:val="18"/>
                <w:highlight w:val="none"/>
              </w:rPr>
            </w:pPr>
          </w:p>
        </w:tc>
        <w:tc>
          <w:tcPr>
            <w:tcW w:w="397" w:type="pct"/>
            <w:tcBorders>
              <w:top w:val="nil"/>
              <w:left w:val="nil"/>
              <w:bottom w:val="single" w:color="auto" w:sz="4" w:space="0"/>
              <w:right w:val="single" w:color="auto" w:sz="4" w:space="0"/>
            </w:tcBorders>
            <w:shd w:val="clear" w:color="auto" w:fill="auto"/>
            <w:vAlign w:val="center"/>
          </w:tcPr>
          <w:p w14:paraId="3333C428">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制度执行有效性</w:t>
            </w:r>
          </w:p>
        </w:tc>
        <w:tc>
          <w:tcPr>
            <w:tcW w:w="179" w:type="pct"/>
            <w:tcBorders>
              <w:top w:val="nil"/>
              <w:left w:val="nil"/>
              <w:bottom w:val="single" w:color="auto" w:sz="4" w:space="0"/>
              <w:right w:val="single" w:color="auto" w:sz="4" w:space="0"/>
            </w:tcBorders>
            <w:shd w:val="clear" w:color="auto" w:fill="auto"/>
            <w:vAlign w:val="center"/>
          </w:tcPr>
          <w:p w14:paraId="7B1A2658">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textAlignment w:val="auto"/>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5</w:t>
            </w:r>
          </w:p>
        </w:tc>
        <w:tc>
          <w:tcPr>
            <w:tcW w:w="1056" w:type="pct"/>
            <w:tcBorders>
              <w:top w:val="nil"/>
              <w:left w:val="nil"/>
              <w:bottom w:val="single" w:color="auto" w:sz="4" w:space="0"/>
              <w:right w:val="single" w:color="auto" w:sz="4" w:space="0"/>
            </w:tcBorders>
            <w:shd w:val="clear" w:color="auto" w:fill="auto"/>
            <w:vAlign w:val="center"/>
          </w:tcPr>
          <w:p w14:paraId="721CD5BC">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left"/>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项目实施是否符合相关管理规定，用以反映和考核相关管理制度的有效执行情况。</w:t>
            </w:r>
          </w:p>
        </w:tc>
        <w:tc>
          <w:tcPr>
            <w:tcW w:w="1267" w:type="pct"/>
            <w:tcBorders>
              <w:top w:val="nil"/>
              <w:left w:val="nil"/>
              <w:bottom w:val="single" w:color="auto" w:sz="4" w:space="0"/>
              <w:right w:val="single" w:color="auto" w:sz="4" w:space="0"/>
            </w:tcBorders>
            <w:shd w:val="clear" w:color="auto" w:fill="auto"/>
            <w:vAlign w:val="center"/>
          </w:tcPr>
          <w:p w14:paraId="73E32E44">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left"/>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①是否遵守相关法律法规和相关管理规定；</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②项目调整及支出调整手续是否完备；</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③项目合同书、验收报告、技术鉴定等资料是否齐全并及时归档；</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④项目实施的人员条件、场地设备、信息支撑等是否落实到位。</w:t>
            </w:r>
          </w:p>
        </w:tc>
        <w:tc>
          <w:tcPr>
            <w:tcW w:w="845" w:type="pct"/>
            <w:tcBorders>
              <w:top w:val="nil"/>
              <w:left w:val="nil"/>
              <w:bottom w:val="single" w:color="auto" w:sz="4" w:space="0"/>
              <w:right w:val="single" w:color="auto" w:sz="4" w:space="0"/>
            </w:tcBorders>
            <w:shd w:val="clear" w:color="auto" w:fill="auto"/>
            <w:vAlign w:val="center"/>
          </w:tcPr>
          <w:p w14:paraId="5CA44648">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每发现1例问题，扣0.5分；情节严重的，双倍扣分。</w:t>
            </w:r>
          </w:p>
        </w:tc>
        <w:tc>
          <w:tcPr>
            <w:tcW w:w="347" w:type="pct"/>
            <w:tcBorders>
              <w:top w:val="nil"/>
              <w:left w:val="nil"/>
              <w:bottom w:val="single" w:color="auto" w:sz="4" w:space="0"/>
              <w:right w:val="single" w:color="auto" w:sz="4" w:space="0"/>
            </w:tcBorders>
            <w:shd w:val="clear" w:color="auto" w:fill="auto"/>
            <w:vAlign w:val="center"/>
          </w:tcPr>
          <w:p w14:paraId="3DAFC428">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　</w:t>
            </w:r>
          </w:p>
        </w:tc>
        <w:tc>
          <w:tcPr>
            <w:tcW w:w="190" w:type="pct"/>
            <w:tcBorders>
              <w:top w:val="nil"/>
              <w:left w:val="nil"/>
              <w:bottom w:val="single" w:color="auto" w:sz="4" w:space="0"/>
              <w:right w:val="single" w:color="auto" w:sz="4" w:space="0"/>
            </w:tcBorders>
            <w:shd w:val="clear" w:color="auto" w:fill="auto"/>
            <w:noWrap/>
            <w:vAlign w:val="center"/>
          </w:tcPr>
          <w:p w14:paraId="280DA4CA">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214" w:type="pct"/>
            <w:tcBorders>
              <w:top w:val="nil"/>
              <w:left w:val="nil"/>
              <w:bottom w:val="single" w:color="auto" w:sz="4" w:space="0"/>
              <w:right w:val="single" w:color="auto" w:sz="4" w:space="0"/>
            </w:tcBorders>
            <w:shd w:val="clear" w:color="auto" w:fill="auto"/>
            <w:noWrap/>
            <w:vAlign w:val="center"/>
          </w:tcPr>
          <w:p w14:paraId="3B207A7F">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xml:space="preserve">5.00 </w:t>
            </w:r>
          </w:p>
        </w:tc>
      </w:tr>
      <w:tr w14:paraId="7EEB5876">
        <w:tblPrEx>
          <w:tblCellMar>
            <w:top w:w="0" w:type="dxa"/>
            <w:left w:w="108" w:type="dxa"/>
            <w:bottom w:w="0" w:type="dxa"/>
            <w:right w:w="108" w:type="dxa"/>
          </w:tblCellMar>
        </w:tblPrEx>
        <w:trPr>
          <w:trHeight w:val="450" w:hRule="atLeast"/>
        </w:trPr>
        <w:tc>
          <w:tcPr>
            <w:tcW w:w="283" w:type="pct"/>
            <w:vMerge w:val="restart"/>
            <w:tcBorders>
              <w:top w:val="single" w:color="auto" w:sz="4" w:space="0"/>
              <w:left w:val="single" w:color="auto" w:sz="4" w:space="0"/>
              <w:bottom w:val="nil"/>
              <w:right w:val="single" w:color="auto" w:sz="4" w:space="0"/>
            </w:tcBorders>
            <w:shd w:val="clear" w:color="auto" w:fill="auto"/>
            <w:vAlign w:val="center"/>
          </w:tcPr>
          <w:p w14:paraId="6D5A287E">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产出</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w:t>
            </w:r>
            <w:r>
              <w:rPr>
                <w:rFonts w:hint="eastAsia" w:ascii="宋体" w:hAnsi="宋体" w:eastAsia="宋体" w:cs="Times New Roman"/>
                <w:color w:val="000000"/>
                <w:kern w:val="0"/>
                <w:sz w:val="16"/>
                <w:szCs w:val="18"/>
                <w:highlight w:val="none"/>
                <w:lang w:val="en-US" w:eastAsia="zh-CN"/>
              </w:rPr>
              <w:t>4</w:t>
            </w:r>
            <w:r>
              <w:rPr>
                <w:rFonts w:hint="eastAsia" w:ascii="宋体" w:hAnsi="宋体" w:eastAsia="宋体" w:cs="Times New Roman"/>
                <w:color w:val="000000"/>
                <w:kern w:val="0"/>
                <w:sz w:val="16"/>
                <w:szCs w:val="18"/>
                <w:highlight w:val="none"/>
              </w:rPr>
              <w:t>0分）</w:t>
            </w:r>
          </w:p>
        </w:tc>
        <w:tc>
          <w:tcPr>
            <w:tcW w:w="219" w:type="pct"/>
            <w:tcBorders>
              <w:top w:val="nil"/>
              <w:left w:val="nil"/>
              <w:bottom w:val="single" w:color="auto" w:sz="4" w:space="0"/>
              <w:right w:val="single" w:color="auto" w:sz="4" w:space="0"/>
            </w:tcBorders>
            <w:shd w:val="clear" w:color="auto" w:fill="auto"/>
            <w:vAlign w:val="center"/>
          </w:tcPr>
          <w:p w14:paraId="7F66DB43">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产出数量</w:t>
            </w:r>
          </w:p>
        </w:tc>
        <w:tc>
          <w:tcPr>
            <w:tcW w:w="397" w:type="pct"/>
            <w:tcBorders>
              <w:top w:val="nil"/>
              <w:left w:val="nil"/>
              <w:bottom w:val="single" w:color="auto" w:sz="4" w:space="0"/>
              <w:right w:val="single" w:color="auto" w:sz="4" w:space="0"/>
            </w:tcBorders>
            <w:shd w:val="clear" w:color="auto" w:fill="auto"/>
            <w:vAlign w:val="center"/>
          </w:tcPr>
          <w:p w14:paraId="4C09F1C8">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慰问金发放人数</w:t>
            </w:r>
          </w:p>
        </w:tc>
        <w:tc>
          <w:tcPr>
            <w:tcW w:w="179" w:type="pct"/>
            <w:tcBorders>
              <w:top w:val="nil"/>
              <w:left w:val="nil"/>
              <w:bottom w:val="single" w:color="auto" w:sz="4" w:space="0"/>
              <w:right w:val="single" w:color="auto" w:sz="4" w:space="0"/>
            </w:tcBorders>
            <w:shd w:val="clear" w:color="auto" w:fill="auto"/>
            <w:vAlign w:val="center"/>
          </w:tcPr>
          <w:p w14:paraId="414141F5">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highlight w:val="none"/>
              </w:rPr>
            </w:pPr>
            <w:r>
              <w:rPr>
                <w:rFonts w:ascii="Times New Roman" w:hAnsi="Times New Roman" w:cs="Times New Roman"/>
                <w:color w:val="000000"/>
                <w:sz w:val="18"/>
                <w:szCs w:val="18"/>
                <w:highlight w:val="none"/>
              </w:rPr>
              <w:t>10</w:t>
            </w:r>
            <w:bookmarkStart w:id="18" w:name="_GoBack"/>
            <w:bookmarkEnd w:id="18"/>
          </w:p>
        </w:tc>
        <w:tc>
          <w:tcPr>
            <w:tcW w:w="1056" w:type="pct"/>
            <w:tcBorders>
              <w:top w:val="nil"/>
              <w:left w:val="nil"/>
              <w:bottom w:val="single" w:color="auto" w:sz="4" w:space="0"/>
              <w:right w:val="single" w:color="auto" w:sz="4" w:space="0"/>
            </w:tcBorders>
            <w:shd w:val="clear" w:color="auto" w:fill="auto"/>
            <w:vAlign w:val="center"/>
          </w:tcPr>
          <w:p w14:paraId="5C7A297D">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慰问金发放人数是否目标人数相符。</w:t>
            </w:r>
          </w:p>
        </w:tc>
        <w:tc>
          <w:tcPr>
            <w:tcW w:w="1267" w:type="pct"/>
            <w:tcBorders>
              <w:top w:val="nil"/>
              <w:left w:val="nil"/>
              <w:bottom w:val="single" w:color="auto" w:sz="4" w:space="0"/>
              <w:right w:val="single" w:color="auto" w:sz="4" w:space="0"/>
            </w:tcBorders>
            <w:shd w:val="clear" w:color="auto" w:fill="auto"/>
            <w:vAlign w:val="center"/>
          </w:tcPr>
          <w:p w14:paraId="64C50676">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慰问金发放人数是否为</w:t>
            </w:r>
            <w:r>
              <w:rPr>
                <w:rFonts w:hint="eastAsia" w:ascii="宋体" w:hAnsi="宋体" w:eastAsia="宋体" w:cs="Times New Roman"/>
                <w:color w:val="000000"/>
                <w:kern w:val="0"/>
                <w:sz w:val="16"/>
                <w:szCs w:val="18"/>
                <w:highlight w:val="none"/>
                <w:lang w:val="en-US" w:eastAsia="zh-CN"/>
              </w:rPr>
              <w:t>3397</w:t>
            </w:r>
            <w:r>
              <w:rPr>
                <w:rFonts w:hint="eastAsia" w:ascii="宋体" w:hAnsi="宋体" w:eastAsia="宋体" w:cs="Times New Roman"/>
                <w:color w:val="000000"/>
                <w:kern w:val="0"/>
                <w:sz w:val="16"/>
                <w:szCs w:val="18"/>
                <w:highlight w:val="none"/>
              </w:rPr>
              <w:t>人。</w:t>
            </w:r>
          </w:p>
        </w:tc>
        <w:tc>
          <w:tcPr>
            <w:tcW w:w="845" w:type="pct"/>
            <w:tcBorders>
              <w:top w:val="nil"/>
              <w:left w:val="nil"/>
              <w:bottom w:val="single" w:color="auto" w:sz="4" w:space="0"/>
              <w:right w:val="single" w:color="auto" w:sz="4" w:space="0"/>
            </w:tcBorders>
            <w:shd w:val="clear" w:color="auto" w:fill="auto"/>
            <w:vAlign w:val="center"/>
          </w:tcPr>
          <w:p w14:paraId="79D44254">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慰问金发放人数为</w:t>
            </w:r>
            <w:r>
              <w:rPr>
                <w:rFonts w:hint="eastAsia" w:ascii="宋体" w:hAnsi="宋体" w:eastAsia="宋体" w:cs="Times New Roman"/>
                <w:color w:val="000000"/>
                <w:kern w:val="0"/>
                <w:sz w:val="16"/>
                <w:szCs w:val="18"/>
                <w:highlight w:val="none"/>
                <w:lang w:val="en-US" w:eastAsia="zh-CN"/>
              </w:rPr>
              <w:t>3392</w:t>
            </w:r>
            <w:r>
              <w:rPr>
                <w:rFonts w:hint="eastAsia" w:ascii="宋体" w:hAnsi="宋体" w:eastAsia="宋体" w:cs="Times New Roman"/>
                <w:color w:val="000000"/>
                <w:kern w:val="0"/>
                <w:sz w:val="16"/>
                <w:szCs w:val="18"/>
                <w:highlight w:val="none"/>
              </w:rPr>
              <w:t>人，本项不扣分；每差异1人，扣0.5分，扣完为止。</w:t>
            </w:r>
          </w:p>
        </w:tc>
        <w:tc>
          <w:tcPr>
            <w:tcW w:w="347" w:type="pct"/>
            <w:tcBorders>
              <w:top w:val="nil"/>
              <w:left w:val="nil"/>
              <w:bottom w:val="single" w:color="auto" w:sz="4" w:space="0"/>
              <w:right w:val="single" w:color="auto" w:sz="4" w:space="0"/>
            </w:tcBorders>
            <w:shd w:val="clear" w:color="auto" w:fill="auto"/>
            <w:vAlign w:val="center"/>
          </w:tcPr>
          <w:p w14:paraId="2CCFDEC2">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发放人数为</w:t>
            </w:r>
            <w:r>
              <w:rPr>
                <w:rFonts w:hint="eastAsia" w:ascii="宋体" w:hAnsi="宋体" w:eastAsia="宋体" w:cs="Times New Roman"/>
                <w:color w:val="000000"/>
                <w:kern w:val="0"/>
                <w:sz w:val="16"/>
                <w:szCs w:val="18"/>
                <w:highlight w:val="none"/>
                <w:lang w:val="en-US" w:eastAsia="zh-CN"/>
              </w:rPr>
              <w:t>3392</w:t>
            </w:r>
            <w:r>
              <w:rPr>
                <w:rFonts w:hint="eastAsia" w:ascii="宋体" w:hAnsi="宋体" w:eastAsia="宋体" w:cs="Times New Roman"/>
                <w:color w:val="000000"/>
                <w:kern w:val="0"/>
                <w:sz w:val="16"/>
                <w:szCs w:val="18"/>
                <w:highlight w:val="none"/>
              </w:rPr>
              <w:t>人，扣</w:t>
            </w:r>
            <w:r>
              <w:rPr>
                <w:rFonts w:hint="eastAsia" w:ascii="宋体" w:hAnsi="宋体" w:eastAsia="宋体" w:cs="Times New Roman"/>
                <w:color w:val="000000"/>
                <w:kern w:val="0"/>
                <w:sz w:val="16"/>
                <w:szCs w:val="18"/>
                <w:highlight w:val="none"/>
                <w:lang w:val="en-US" w:eastAsia="zh-CN"/>
              </w:rPr>
              <w:t>2.5</w:t>
            </w:r>
            <w:r>
              <w:rPr>
                <w:rFonts w:hint="eastAsia" w:ascii="宋体" w:hAnsi="宋体" w:eastAsia="宋体" w:cs="Times New Roman"/>
                <w:color w:val="000000"/>
                <w:kern w:val="0"/>
                <w:sz w:val="16"/>
                <w:szCs w:val="18"/>
                <w:highlight w:val="none"/>
              </w:rPr>
              <w:t>分。</w:t>
            </w:r>
          </w:p>
        </w:tc>
        <w:tc>
          <w:tcPr>
            <w:tcW w:w="190" w:type="pct"/>
            <w:tcBorders>
              <w:top w:val="nil"/>
              <w:left w:val="nil"/>
              <w:bottom w:val="single" w:color="auto" w:sz="4" w:space="0"/>
              <w:right w:val="single" w:color="auto" w:sz="4" w:space="0"/>
            </w:tcBorders>
            <w:shd w:val="clear" w:color="auto" w:fill="auto"/>
            <w:noWrap/>
            <w:vAlign w:val="center"/>
          </w:tcPr>
          <w:p w14:paraId="7F620E12">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eastAsia="宋体" w:cs="Times New Roman"/>
                <w:color w:val="000000"/>
                <w:kern w:val="0"/>
                <w:sz w:val="16"/>
                <w:szCs w:val="18"/>
                <w:highlight w:val="none"/>
              </w:rPr>
            </w:pPr>
            <w:r>
              <w:rPr>
                <w:rFonts w:hint="eastAsia" w:ascii="Times New Roman" w:hAnsi="Times New Roman" w:eastAsia="宋体" w:cs="Times New Roman"/>
                <w:color w:val="000000"/>
                <w:kern w:val="0"/>
                <w:sz w:val="16"/>
                <w:szCs w:val="18"/>
                <w:highlight w:val="none"/>
                <w:lang w:val="en-US" w:eastAsia="zh-CN"/>
              </w:rPr>
              <w:t>2</w:t>
            </w:r>
            <w:r>
              <w:rPr>
                <w:rFonts w:hint="eastAsia" w:ascii="Times New Roman" w:hAnsi="Times New Roman" w:eastAsia="宋体" w:cs="Times New Roman"/>
                <w:color w:val="000000"/>
                <w:kern w:val="0"/>
                <w:sz w:val="16"/>
                <w:szCs w:val="18"/>
                <w:highlight w:val="none"/>
              </w:rPr>
              <w:t>.5</w:t>
            </w:r>
          </w:p>
        </w:tc>
        <w:tc>
          <w:tcPr>
            <w:tcW w:w="214" w:type="pct"/>
            <w:tcBorders>
              <w:top w:val="nil"/>
              <w:left w:val="nil"/>
              <w:bottom w:val="single" w:color="auto" w:sz="4" w:space="0"/>
              <w:right w:val="single" w:color="auto" w:sz="4" w:space="0"/>
            </w:tcBorders>
            <w:shd w:val="clear" w:color="auto" w:fill="auto"/>
            <w:noWrap/>
            <w:vAlign w:val="center"/>
          </w:tcPr>
          <w:p w14:paraId="38266AC2">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eastAsia="宋体" w:cs="Times New Roman"/>
                <w:color w:val="000000"/>
                <w:kern w:val="0"/>
                <w:sz w:val="16"/>
                <w:szCs w:val="18"/>
                <w:highlight w:val="none"/>
              </w:rPr>
            </w:pPr>
            <w:r>
              <w:rPr>
                <w:rFonts w:hint="eastAsia" w:ascii="Times New Roman" w:hAnsi="Times New Roman" w:eastAsia="宋体" w:cs="Times New Roman"/>
                <w:color w:val="000000"/>
                <w:kern w:val="0"/>
                <w:sz w:val="16"/>
                <w:szCs w:val="18"/>
                <w:highlight w:val="none"/>
                <w:lang w:val="en-US" w:eastAsia="zh-CN"/>
              </w:rPr>
              <w:t>7</w:t>
            </w:r>
            <w:r>
              <w:rPr>
                <w:rFonts w:hint="eastAsia" w:ascii="Times New Roman" w:hAnsi="Times New Roman" w:eastAsia="宋体" w:cs="Times New Roman"/>
                <w:color w:val="000000"/>
                <w:kern w:val="0"/>
                <w:sz w:val="16"/>
                <w:szCs w:val="18"/>
                <w:highlight w:val="none"/>
              </w:rPr>
              <w:t>.50</w:t>
            </w:r>
          </w:p>
        </w:tc>
      </w:tr>
      <w:tr w14:paraId="3B459E38">
        <w:tblPrEx>
          <w:tblCellMar>
            <w:top w:w="0" w:type="dxa"/>
            <w:left w:w="108" w:type="dxa"/>
            <w:bottom w:w="0" w:type="dxa"/>
            <w:right w:w="108" w:type="dxa"/>
          </w:tblCellMar>
        </w:tblPrEx>
        <w:trPr>
          <w:trHeight w:val="675" w:hRule="atLeast"/>
        </w:trPr>
        <w:tc>
          <w:tcPr>
            <w:tcW w:w="283" w:type="pct"/>
            <w:vMerge w:val="continue"/>
            <w:tcBorders>
              <w:top w:val="single" w:color="auto" w:sz="4" w:space="0"/>
              <w:left w:val="single" w:color="auto" w:sz="4" w:space="0"/>
              <w:bottom w:val="nil"/>
              <w:right w:val="single" w:color="auto" w:sz="4" w:space="0"/>
            </w:tcBorders>
            <w:vAlign w:val="center"/>
          </w:tcPr>
          <w:p w14:paraId="2442B772">
            <w:pPr>
              <w:widowControl/>
              <w:ind w:left="-105" w:leftChars="-50" w:right="-105" w:rightChars="-50"/>
              <w:jc w:val="left"/>
              <w:rPr>
                <w:rFonts w:ascii="宋体" w:hAnsi="宋体" w:eastAsia="宋体" w:cs="Times New Roman"/>
                <w:color w:val="000000"/>
                <w:kern w:val="0"/>
                <w:sz w:val="16"/>
                <w:szCs w:val="18"/>
                <w:highlight w:val="none"/>
              </w:rPr>
            </w:pPr>
          </w:p>
        </w:tc>
        <w:tc>
          <w:tcPr>
            <w:tcW w:w="219" w:type="pct"/>
            <w:tcBorders>
              <w:top w:val="nil"/>
              <w:left w:val="nil"/>
              <w:bottom w:val="nil"/>
              <w:right w:val="single" w:color="auto" w:sz="4" w:space="0"/>
            </w:tcBorders>
            <w:shd w:val="clear" w:color="auto" w:fill="auto"/>
            <w:vAlign w:val="center"/>
          </w:tcPr>
          <w:p w14:paraId="25453EFA">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产出质量</w:t>
            </w:r>
          </w:p>
        </w:tc>
        <w:tc>
          <w:tcPr>
            <w:tcW w:w="397" w:type="pct"/>
            <w:tcBorders>
              <w:top w:val="nil"/>
              <w:left w:val="nil"/>
              <w:bottom w:val="single" w:color="auto" w:sz="4" w:space="0"/>
              <w:right w:val="single" w:color="auto" w:sz="4" w:space="0"/>
            </w:tcBorders>
            <w:shd w:val="clear" w:color="auto" w:fill="auto"/>
            <w:vAlign w:val="center"/>
          </w:tcPr>
          <w:p w14:paraId="3FF6608A">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慰问金发放合规率</w:t>
            </w:r>
          </w:p>
        </w:tc>
        <w:tc>
          <w:tcPr>
            <w:tcW w:w="179" w:type="pct"/>
            <w:tcBorders>
              <w:top w:val="nil"/>
              <w:left w:val="nil"/>
              <w:bottom w:val="single" w:color="auto" w:sz="4" w:space="0"/>
              <w:right w:val="single" w:color="auto" w:sz="4" w:space="0"/>
            </w:tcBorders>
            <w:shd w:val="clear" w:color="auto" w:fill="auto"/>
            <w:vAlign w:val="center"/>
          </w:tcPr>
          <w:p w14:paraId="30CAA18B">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highlight w:val="none"/>
              </w:rPr>
            </w:pPr>
            <w:r>
              <w:rPr>
                <w:rFonts w:ascii="Times New Roman" w:hAnsi="Times New Roman" w:cs="Times New Roman"/>
                <w:color w:val="000000"/>
                <w:sz w:val="18"/>
                <w:szCs w:val="18"/>
                <w:highlight w:val="none"/>
              </w:rPr>
              <w:t>10</w:t>
            </w:r>
          </w:p>
        </w:tc>
        <w:tc>
          <w:tcPr>
            <w:tcW w:w="1056" w:type="pct"/>
            <w:tcBorders>
              <w:top w:val="nil"/>
              <w:left w:val="nil"/>
              <w:bottom w:val="single" w:color="auto" w:sz="4" w:space="0"/>
              <w:right w:val="single" w:color="auto" w:sz="4" w:space="0"/>
            </w:tcBorders>
            <w:shd w:val="clear" w:color="auto" w:fill="auto"/>
            <w:vAlign w:val="center"/>
          </w:tcPr>
          <w:p w14:paraId="76AA7A79">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慰问金发放人员是否全部为市级劳模。</w:t>
            </w:r>
          </w:p>
        </w:tc>
        <w:tc>
          <w:tcPr>
            <w:tcW w:w="1267" w:type="pct"/>
            <w:tcBorders>
              <w:top w:val="nil"/>
              <w:left w:val="nil"/>
              <w:bottom w:val="single" w:color="auto" w:sz="4" w:space="0"/>
              <w:right w:val="single" w:color="auto" w:sz="4" w:space="0"/>
            </w:tcBorders>
            <w:shd w:val="clear" w:color="auto" w:fill="auto"/>
            <w:vAlign w:val="center"/>
          </w:tcPr>
          <w:p w14:paraId="076393F9">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慰问金发放人员全部为市级劳模。</w:t>
            </w:r>
          </w:p>
        </w:tc>
        <w:tc>
          <w:tcPr>
            <w:tcW w:w="845" w:type="pct"/>
            <w:tcBorders>
              <w:top w:val="nil"/>
              <w:left w:val="nil"/>
              <w:bottom w:val="single" w:color="auto" w:sz="4" w:space="0"/>
              <w:right w:val="single" w:color="auto" w:sz="4" w:space="0"/>
            </w:tcBorders>
            <w:shd w:val="clear" w:color="auto" w:fill="auto"/>
            <w:vAlign w:val="center"/>
          </w:tcPr>
          <w:p w14:paraId="6BBFCE61">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存在1例慰问金发放人员不属于市级劳模，本项不得分。</w:t>
            </w:r>
          </w:p>
        </w:tc>
        <w:tc>
          <w:tcPr>
            <w:tcW w:w="347" w:type="pct"/>
            <w:tcBorders>
              <w:top w:val="nil"/>
              <w:left w:val="nil"/>
              <w:bottom w:val="single" w:color="auto" w:sz="4" w:space="0"/>
              <w:right w:val="single" w:color="auto" w:sz="4" w:space="0"/>
            </w:tcBorders>
            <w:shd w:val="clear" w:color="auto" w:fill="auto"/>
            <w:vAlign w:val="center"/>
          </w:tcPr>
          <w:p w14:paraId="55BE5183">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　</w:t>
            </w:r>
          </w:p>
        </w:tc>
        <w:tc>
          <w:tcPr>
            <w:tcW w:w="190" w:type="pct"/>
            <w:tcBorders>
              <w:top w:val="nil"/>
              <w:left w:val="nil"/>
              <w:bottom w:val="single" w:color="auto" w:sz="4" w:space="0"/>
              <w:right w:val="single" w:color="auto" w:sz="4" w:space="0"/>
            </w:tcBorders>
            <w:shd w:val="clear" w:color="auto" w:fill="auto"/>
            <w:noWrap/>
            <w:vAlign w:val="center"/>
          </w:tcPr>
          <w:p w14:paraId="684CB36B">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214" w:type="pct"/>
            <w:tcBorders>
              <w:top w:val="nil"/>
              <w:left w:val="nil"/>
              <w:bottom w:val="single" w:color="auto" w:sz="4" w:space="0"/>
              <w:right w:val="single" w:color="auto" w:sz="4" w:space="0"/>
            </w:tcBorders>
            <w:shd w:val="clear" w:color="auto" w:fill="auto"/>
            <w:noWrap/>
            <w:vAlign w:val="center"/>
          </w:tcPr>
          <w:p w14:paraId="55B1E206">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xml:space="preserve">10.00 </w:t>
            </w:r>
          </w:p>
        </w:tc>
      </w:tr>
      <w:tr w14:paraId="78092E6D">
        <w:tblPrEx>
          <w:tblCellMar>
            <w:top w:w="0" w:type="dxa"/>
            <w:left w:w="108" w:type="dxa"/>
            <w:bottom w:w="0" w:type="dxa"/>
            <w:right w:w="108" w:type="dxa"/>
          </w:tblCellMar>
        </w:tblPrEx>
        <w:trPr>
          <w:trHeight w:val="450" w:hRule="atLeast"/>
        </w:trPr>
        <w:tc>
          <w:tcPr>
            <w:tcW w:w="283" w:type="pct"/>
            <w:vMerge w:val="continue"/>
            <w:tcBorders>
              <w:top w:val="single" w:color="auto" w:sz="4" w:space="0"/>
              <w:left w:val="single" w:color="auto" w:sz="4" w:space="0"/>
              <w:bottom w:val="nil"/>
              <w:right w:val="single" w:color="auto" w:sz="4" w:space="0"/>
            </w:tcBorders>
            <w:vAlign w:val="center"/>
          </w:tcPr>
          <w:p w14:paraId="26E5CB4D">
            <w:pPr>
              <w:widowControl/>
              <w:ind w:left="-105" w:leftChars="-50" w:right="-105" w:rightChars="-50"/>
              <w:jc w:val="left"/>
              <w:rPr>
                <w:rFonts w:ascii="宋体" w:hAnsi="宋体" w:eastAsia="宋体" w:cs="Times New Roman"/>
                <w:color w:val="000000"/>
                <w:kern w:val="0"/>
                <w:sz w:val="16"/>
                <w:szCs w:val="18"/>
                <w:highlight w:val="none"/>
              </w:rPr>
            </w:pPr>
          </w:p>
        </w:tc>
        <w:tc>
          <w:tcPr>
            <w:tcW w:w="219" w:type="pct"/>
            <w:tcBorders>
              <w:top w:val="single" w:color="auto" w:sz="4" w:space="0"/>
              <w:left w:val="nil"/>
              <w:bottom w:val="nil"/>
              <w:right w:val="single" w:color="auto" w:sz="4" w:space="0"/>
            </w:tcBorders>
            <w:shd w:val="clear" w:color="auto" w:fill="auto"/>
            <w:vAlign w:val="center"/>
          </w:tcPr>
          <w:p w14:paraId="7E823688">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产出时效</w:t>
            </w:r>
          </w:p>
        </w:tc>
        <w:tc>
          <w:tcPr>
            <w:tcW w:w="397" w:type="pct"/>
            <w:tcBorders>
              <w:top w:val="nil"/>
              <w:left w:val="nil"/>
              <w:bottom w:val="single" w:color="auto" w:sz="4" w:space="0"/>
              <w:right w:val="single" w:color="auto" w:sz="4" w:space="0"/>
            </w:tcBorders>
            <w:shd w:val="clear" w:color="auto" w:fill="auto"/>
            <w:vAlign w:val="center"/>
          </w:tcPr>
          <w:p w14:paraId="3C7F35B1">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慰问金发放及时率</w:t>
            </w:r>
          </w:p>
        </w:tc>
        <w:tc>
          <w:tcPr>
            <w:tcW w:w="179" w:type="pct"/>
            <w:tcBorders>
              <w:top w:val="nil"/>
              <w:left w:val="nil"/>
              <w:bottom w:val="single" w:color="auto" w:sz="4" w:space="0"/>
              <w:right w:val="single" w:color="auto" w:sz="4" w:space="0"/>
            </w:tcBorders>
            <w:shd w:val="clear" w:color="auto" w:fill="auto"/>
            <w:vAlign w:val="center"/>
          </w:tcPr>
          <w:p w14:paraId="753420E3">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highlight w:val="none"/>
              </w:rPr>
            </w:pPr>
            <w:r>
              <w:rPr>
                <w:rFonts w:ascii="Times New Roman" w:hAnsi="Times New Roman" w:cs="Times New Roman"/>
                <w:color w:val="000000"/>
                <w:sz w:val="18"/>
                <w:szCs w:val="18"/>
                <w:highlight w:val="none"/>
              </w:rPr>
              <w:t>10</w:t>
            </w:r>
          </w:p>
        </w:tc>
        <w:tc>
          <w:tcPr>
            <w:tcW w:w="1056" w:type="pct"/>
            <w:tcBorders>
              <w:top w:val="nil"/>
              <w:left w:val="nil"/>
              <w:bottom w:val="single" w:color="auto" w:sz="4" w:space="0"/>
              <w:right w:val="single" w:color="auto" w:sz="4" w:space="0"/>
            </w:tcBorders>
            <w:shd w:val="clear" w:color="auto" w:fill="auto"/>
            <w:vAlign w:val="center"/>
          </w:tcPr>
          <w:p w14:paraId="4BE23B77">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慰问金发放是否及时。</w:t>
            </w:r>
          </w:p>
        </w:tc>
        <w:tc>
          <w:tcPr>
            <w:tcW w:w="1267" w:type="pct"/>
            <w:tcBorders>
              <w:top w:val="nil"/>
              <w:left w:val="nil"/>
              <w:bottom w:val="single" w:color="auto" w:sz="4" w:space="0"/>
              <w:right w:val="single" w:color="auto" w:sz="4" w:space="0"/>
            </w:tcBorders>
            <w:shd w:val="clear" w:color="auto" w:fill="auto"/>
            <w:vAlign w:val="center"/>
          </w:tcPr>
          <w:p w14:paraId="1B0E7FA6">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慰问金在农历正月三十日前全部发放到位。</w:t>
            </w:r>
          </w:p>
        </w:tc>
        <w:tc>
          <w:tcPr>
            <w:tcW w:w="845" w:type="pct"/>
            <w:tcBorders>
              <w:top w:val="nil"/>
              <w:left w:val="nil"/>
              <w:bottom w:val="single" w:color="auto" w:sz="4" w:space="0"/>
              <w:right w:val="single" w:color="auto" w:sz="4" w:space="0"/>
            </w:tcBorders>
            <w:shd w:val="clear" w:color="auto" w:fill="auto"/>
            <w:vAlign w:val="center"/>
          </w:tcPr>
          <w:p w14:paraId="21C0CEAE">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每发现1例慰问金发放超时，扣0.5分。</w:t>
            </w:r>
          </w:p>
        </w:tc>
        <w:tc>
          <w:tcPr>
            <w:tcW w:w="347" w:type="pct"/>
            <w:tcBorders>
              <w:top w:val="nil"/>
              <w:left w:val="nil"/>
              <w:bottom w:val="single" w:color="auto" w:sz="4" w:space="0"/>
              <w:right w:val="single" w:color="auto" w:sz="4" w:space="0"/>
            </w:tcBorders>
            <w:shd w:val="clear" w:color="auto" w:fill="auto"/>
            <w:vAlign w:val="center"/>
          </w:tcPr>
          <w:p w14:paraId="498EC148">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　</w:t>
            </w:r>
          </w:p>
        </w:tc>
        <w:tc>
          <w:tcPr>
            <w:tcW w:w="190" w:type="pct"/>
            <w:tcBorders>
              <w:top w:val="nil"/>
              <w:left w:val="nil"/>
              <w:bottom w:val="single" w:color="auto" w:sz="4" w:space="0"/>
              <w:right w:val="single" w:color="auto" w:sz="4" w:space="0"/>
            </w:tcBorders>
            <w:shd w:val="clear" w:color="auto" w:fill="auto"/>
            <w:noWrap/>
            <w:vAlign w:val="center"/>
          </w:tcPr>
          <w:p w14:paraId="306A8642">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214" w:type="pct"/>
            <w:tcBorders>
              <w:top w:val="nil"/>
              <w:left w:val="nil"/>
              <w:bottom w:val="single" w:color="auto" w:sz="4" w:space="0"/>
              <w:right w:val="single" w:color="auto" w:sz="4" w:space="0"/>
            </w:tcBorders>
            <w:shd w:val="clear" w:color="auto" w:fill="auto"/>
            <w:noWrap/>
            <w:vAlign w:val="center"/>
          </w:tcPr>
          <w:p w14:paraId="4856AD14">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xml:space="preserve">10.00 </w:t>
            </w:r>
          </w:p>
        </w:tc>
      </w:tr>
      <w:tr w14:paraId="37413E36">
        <w:tblPrEx>
          <w:tblCellMar>
            <w:top w:w="0" w:type="dxa"/>
            <w:left w:w="108" w:type="dxa"/>
            <w:bottom w:w="0" w:type="dxa"/>
            <w:right w:w="108" w:type="dxa"/>
          </w:tblCellMar>
        </w:tblPrEx>
        <w:trPr>
          <w:trHeight w:val="675"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60204E6B">
            <w:pPr>
              <w:widowControl/>
              <w:ind w:left="-105" w:leftChars="-50" w:right="-105" w:rightChars="-50"/>
              <w:jc w:val="left"/>
              <w:rPr>
                <w:rFonts w:ascii="宋体" w:hAnsi="宋体" w:eastAsia="宋体" w:cs="Times New Roman"/>
                <w:color w:val="000000"/>
                <w:kern w:val="0"/>
                <w:sz w:val="16"/>
                <w:szCs w:val="18"/>
                <w:highlight w:val="none"/>
              </w:rPr>
            </w:pPr>
          </w:p>
        </w:tc>
        <w:tc>
          <w:tcPr>
            <w:tcW w:w="219" w:type="pct"/>
            <w:tcBorders>
              <w:top w:val="single" w:color="auto" w:sz="4" w:space="0"/>
              <w:left w:val="nil"/>
              <w:bottom w:val="single" w:color="auto" w:sz="4" w:space="0"/>
              <w:right w:val="single" w:color="auto" w:sz="4" w:space="0"/>
            </w:tcBorders>
            <w:shd w:val="clear" w:color="auto" w:fill="auto"/>
            <w:vAlign w:val="center"/>
          </w:tcPr>
          <w:p w14:paraId="067AB620">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产出成本</w:t>
            </w:r>
          </w:p>
        </w:tc>
        <w:tc>
          <w:tcPr>
            <w:tcW w:w="397" w:type="pct"/>
            <w:tcBorders>
              <w:top w:val="nil"/>
              <w:left w:val="nil"/>
              <w:bottom w:val="single" w:color="auto" w:sz="4" w:space="0"/>
              <w:right w:val="single" w:color="auto" w:sz="4" w:space="0"/>
            </w:tcBorders>
            <w:shd w:val="clear" w:color="auto" w:fill="auto"/>
            <w:vAlign w:val="center"/>
          </w:tcPr>
          <w:p w14:paraId="427ADFA9">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慰问金项目成本控制率</w:t>
            </w:r>
          </w:p>
        </w:tc>
        <w:tc>
          <w:tcPr>
            <w:tcW w:w="179" w:type="pct"/>
            <w:tcBorders>
              <w:top w:val="nil"/>
              <w:left w:val="nil"/>
              <w:bottom w:val="single" w:color="auto" w:sz="4" w:space="0"/>
              <w:right w:val="single" w:color="auto" w:sz="4" w:space="0"/>
            </w:tcBorders>
            <w:shd w:val="clear" w:color="auto" w:fill="auto"/>
            <w:vAlign w:val="center"/>
          </w:tcPr>
          <w:p w14:paraId="4F866F42">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highlight w:val="none"/>
              </w:rPr>
            </w:pPr>
            <w:r>
              <w:rPr>
                <w:rFonts w:ascii="Times New Roman" w:hAnsi="Times New Roman" w:cs="Times New Roman"/>
                <w:color w:val="000000"/>
                <w:sz w:val="18"/>
                <w:szCs w:val="18"/>
                <w:highlight w:val="none"/>
              </w:rPr>
              <w:t>10</w:t>
            </w:r>
          </w:p>
        </w:tc>
        <w:tc>
          <w:tcPr>
            <w:tcW w:w="1056" w:type="pct"/>
            <w:tcBorders>
              <w:top w:val="nil"/>
              <w:left w:val="nil"/>
              <w:bottom w:val="single" w:color="auto" w:sz="4" w:space="0"/>
              <w:right w:val="single" w:color="auto" w:sz="4" w:space="0"/>
            </w:tcBorders>
            <w:shd w:val="clear" w:color="auto" w:fill="auto"/>
            <w:vAlign w:val="center"/>
          </w:tcPr>
          <w:p w14:paraId="2881C7CE">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慰问金发放是否超出预算目标。</w:t>
            </w:r>
          </w:p>
        </w:tc>
        <w:tc>
          <w:tcPr>
            <w:tcW w:w="1267" w:type="pct"/>
            <w:tcBorders>
              <w:top w:val="nil"/>
              <w:left w:val="nil"/>
              <w:bottom w:val="single" w:color="auto" w:sz="4" w:space="0"/>
              <w:right w:val="single" w:color="auto" w:sz="4" w:space="0"/>
            </w:tcBorders>
            <w:shd w:val="clear" w:color="auto" w:fill="auto"/>
            <w:vAlign w:val="center"/>
          </w:tcPr>
          <w:p w14:paraId="616413DD">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慰问金支出在预算范围内。</w:t>
            </w:r>
          </w:p>
        </w:tc>
        <w:tc>
          <w:tcPr>
            <w:tcW w:w="845" w:type="pct"/>
            <w:tcBorders>
              <w:top w:val="nil"/>
              <w:left w:val="nil"/>
              <w:bottom w:val="single" w:color="auto" w:sz="4" w:space="0"/>
              <w:right w:val="single" w:color="auto" w:sz="4" w:space="0"/>
            </w:tcBorders>
            <w:shd w:val="clear" w:color="auto" w:fill="auto"/>
            <w:vAlign w:val="center"/>
          </w:tcPr>
          <w:p w14:paraId="2C010EB3">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预算支出100%，得10分；每变动1%，扣1分。</w:t>
            </w:r>
          </w:p>
        </w:tc>
        <w:tc>
          <w:tcPr>
            <w:tcW w:w="347" w:type="pct"/>
            <w:tcBorders>
              <w:top w:val="nil"/>
              <w:left w:val="nil"/>
              <w:bottom w:val="single" w:color="auto" w:sz="4" w:space="0"/>
              <w:right w:val="single" w:color="auto" w:sz="4" w:space="0"/>
            </w:tcBorders>
            <w:shd w:val="clear" w:color="auto" w:fill="auto"/>
            <w:vAlign w:val="center"/>
          </w:tcPr>
          <w:p w14:paraId="2004784F">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预算执行率99.</w:t>
            </w:r>
            <w:r>
              <w:rPr>
                <w:rFonts w:hint="eastAsia" w:ascii="宋体" w:hAnsi="宋体" w:eastAsia="宋体" w:cs="Times New Roman"/>
                <w:color w:val="000000"/>
                <w:kern w:val="0"/>
                <w:sz w:val="16"/>
                <w:szCs w:val="18"/>
                <w:highlight w:val="none"/>
                <w:lang w:val="en-US" w:eastAsia="zh-CN"/>
              </w:rPr>
              <w:t>85</w:t>
            </w:r>
            <w:r>
              <w:rPr>
                <w:rFonts w:hint="eastAsia" w:ascii="宋体" w:hAnsi="宋体" w:eastAsia="宋体" w:cs="Times New Roman"/>
                <w:color w:val="000000"/>
                <w:kern w:val="0"/>
                <w:sz w:val="16"/>
                <w:szCs w:val="18"/>
                <w:highlight w:val="none"/>
              </w:rPr>
              <w:t>%，扣1分。</w:t>
            </w:r>
          </w:p>
        </w:tc>
        <w:tc>
          <w:tcPr>
            <w:tcW w:w="190" w:type="pct"/>
            <w:tcBorders>
              <w:top w:val="nil"/>
              <w:left w:val="nil"/>
              <w:bottom w:val="single" w:color="auto" w:sz="4" w:space="0"/>
              <w:right w:val="single" w:color="auto" w:sz="4" w:space="0"/>
            </w:tcBorders>
            <w:shd w:val="clear" w:color="auto" w:fill="auto"/>
            <w:noWrap/>
            <w:vAlign w:val="center"/>
          </w:tcPr>
          <w:p w14:paraId="2F84A34E">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eastAsia="宋体" w:cs="Times New Roman"/>
                <w:color w:val="000000"/>
                <w:kern w:val="0"/>
                <w:sz w:val="16"/>
                <w:szCs w:val="18"/>
                <w:highlight w:val="none"/>
              </w:rPr>
            </w:pPr>
            <w:r>
              <w:rPr>
                <w:rFonts w:hint="eastAsia" w:ascii="Times New Roman" w:hAnsi="Times New Roman" w:eastAsia="宋体" w:cs="Times New Roman"/>
                <w:color w:val="000000"/>
                <w:kern w:val="0"/>
                <w:sz w:val="16"/>
                <w:szCs w:val="18"/>
                <w:highlight w:val="none"/>
              </w:rPr>
              <w:t>1</w:t>
            </w:r>
            <w:r>
              <w:rPr>
                <w:rFonts w:ascii="Times New Roman" w:hAnsi="Times New Roman" w:eastAsia="宋体" w:cs="Times New Roman"/>
                <w:color w:val="000000"/>
                <w:kern w:val="0"/>
                <w:sz w:val="16"/>
                <w:szCs w:val="18"/>
                <w:highlight w:val="none"/>
              </w:rPr>
              <w:t>　</w:t>
            </w:r>
          </w:p>
        </w:tc>
        <w:tc>
          <w:tcPr>
            <w:tcW w:w="214" w:type="pct"/>
            <w:tcBorders>
              <w:top w:val="nil"/>
              <w:left w:val="nil"/>
              <w:bottom w:val="single" w:color="auto" w:sz="4" w:space="0"/>
              <w:right w:val="single" w:color="auto" w:sz="4" w:space="0"/>
            </w:tcBorders>
            <w:shd w:val="clear" w:color="auto" w:fill="auto"/>
            <w:noWrap/>
            <w:vAlign w:val="center"/>
          </w:tcPr>
          <w:p w14:paraId="369B9685">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eastAsia="宋体" w:cs="Times New Roman"/>
                <w:color w:val="000000"/>
                <w:kern w:val="0"/>
                <w:sz w:val="16"/>
                <w:szCs w:val="18"/>
                <w:highlight w:val="none"/>
              </w:rPr>
            </w:pPr>
            <w:r>
              <w:rPr>
                <w:rFonts w:hint="eastAsia" w:ascii="Times New Roman" w:hAnsi="Times New Roman" w:eastAsia="宋体" w:cs="Times New Roman"/>
                <w:color w:val="000000"/>
                <w:kern w:val="0"/>
                <w:sz w:val="16"/>
                <w:szCs w:val="18"/>
                <w:highlight w:val="none"/>
              </w:rPr>
              <w:t>9.00</w:t>
            </w:r>
          </w:p>
        </w:tc>
      </w:tr>
      <w:tr w14:paraId="129B0CCB">
        <w:tblPrEx>
          <w:tblCellMar>
            <w:top w:w="0" w:type="dxa"/>
            <w:left w:w="108" w:type="dxa"/>
            <w:bottom w:w="0" w:type="dxa"/>
            <w:right w:w="108" w:type="dxa"/>
          </w:tblCellMar>
        </w:tblPrEx>
        <w:trPr>
          <w:trHeight w:val="539" w:hRule="atLeast"/>
        </w:trPr>
        <w:tc>
          <w:tcPr>
            <w:tcW w:w="28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10B9DE3">
            <w:pPr>
              <w:widowControl/>
              <w:ind w:left="-105" w:leftChars="-50" w:right="-105" w:rightChars="-50"/>
              <w:jc w:val="center"/>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效益</w:t>
            </w:r>
          </w:p>
          <w:p w14:paraId="312E9DDF">
            <w:pPr>
              <w:widowControl/>
              <w:ind w:left="-105" w:leftChars="-50" w:right="-105" w:rightChars="-50"/>
              <w:jc w:val="center"/>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w:t>
            </w:r>
            <w:r>
              <w:rPr>
                <w:rFonts w:hint="eastAsia" w:ascii="宋体" w:hAnsi="宋体" w:eastAsia="宋体" w:cs="Times New Roman"/>
                <w:color w:val="000000"/>
                <w:kern w:val="0"/>
                <w:sz w:val="16"/>
                <w:szCs w:val="18"/>
                <w:highlight w:val="none"/>
                <w:lang w:val="en-US" w:eastAsia="zh-CN"/>
              </w:rPr>
              <w:t>32</w:t>
            </w:r>
            <w:r>
              <w:rPr>
                <w:rFonts w:hint="eastAsia" w:ascii="宋体" w:hAnsi="宋体" w:eastAsia="宋体" w:cs="Times New Roman"/>
                <w:color w:val="000000"/>
                <w:kern w:val="0"/>
                <w:sz w:val="16"/>
                <w:szCs w:val="18"/>
                <w:highlight w:val="none"/>
              </w:rPr>
              <w:t>分）</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14:paraId="33A3E3BB">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eastAsia="宋体" w:cs="Times New Roman"/>
                <w:color w:val="000000"/>
                <w:kern w:val="0"/>
                <w:sz w:val="16"/>
                <w:szCs w:val="18"/>
                <w:highlight w:val="none"/>
                <w:lang w:val="en-US" w:eastAsia="zh-CN" w:bidi="ar-SA"/>
              </w:rPr>
            </w:pPr>
            <w:r>
              <w:rPr>
                <w:rFonts w:hint="eastAsia" w:ascii="宋体" w:hAnsi="宋体" w:eastAsia="宋体" w:cs="Times New Roman"/>
                <w:color w:val="000000"/>
                <w:kern w:val="0"/>
                <w:sz w:val="16"/>
                <w:szCs w:val="18"/>
                <w:highlight w:val="none"/>
              </w:rPr>
              <w:t>社会效益</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6329CF86">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hint="eastAsia" w:ascii="Times New Roman" w:hAnsi="Times New Roman" w:eastAsia="宋体" w:cs="Times New Roman"/>
                <w:color w:val="000000"/>
                <w:kern w:val="0"/>
                <w:sz w:val="16"/>
                <w:szCs w:val="18"/>
                <w:highlight w:val="none"/>
                <w:lang w:eastAsia="zh-CN"/>
              </w:rPr>
            </w:pPr>
            <w:r>
              <w:rPr>
                <w:rFonts w:hint="eastAsia" w:ascii="宋体" w:hAnsi="宋体" w:eastAsia="宋体" w:cs="Times New Roman"/>
                <w:color w:val="000000"/>
                <w:kern w:val="0"/>
                <w:sz w:val="16"/>
                <w:szCs w:val="18"/>
                <w:highlight w:val="none"/>
                <w:lang w:eastAsia="zh-CN"/>
              </w:rPr>
              <w:t>提高劳模待遇</w:t>
            </w:r>
          </w:p>
        </w:tc>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47AF0215">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hint="default" w:ascii="Times New Roman" w:hAnsi="Times New Roman" w:eastAsia="宋体" w:cs="Times New Roman"/>
                <w:color w:val="000000"/>
                <w:kern w:val="0"/>
                <w:sz w:val="16"/>
                <w:szCs w:val="18"/>
                <w:highlight w:val="none"/>
                <w:lang w:val="en-US" w:eastAsia="zh-CN"/>
              </w:rPr>
            </w:pPr>
            <w:r>
              <w:rPr>
                <w:rFonts w:hint="eastAsia" w:ascii="Times New Roman" w:hAnsi="Times New Roman" w:eastAsia="宋体" w:cs="Times New Roman"/>
                <w:color w:val="000000"/>
                <w:kern w:val="0"/>
                <w:sz w:val="16"/>
                <w:szCs w:val="18"/>
                <w:highlight w:val="none"/>
                <w:lang w:val="en-US" w:eastAsia="zh-CN"/>
              </w:rPr>
              <w:t>11</w:t>
            </w:r>
          </w:p>
        </w:tc>
        <w:tc>
          <w:tcPr>
            <w:tcW w:w="1056" w:type="pct"/>
            <w:tcBorders>
              <w:top w:val="single" w:color="auto" w:sz="4" w:space="0"/>
              <w:left w:val="single" w:color="auto" w:sz="4" w:space="0"/>
              <w:bottom w:val="single" w:color="auto" w:sz="4" w:space="0"/>
              <w:right w:val="single" w:color="auto" w:sz="4" w:space="0"/>
            </w:tcBorders>
            <w:shd w:val="clear" w:color="auto" w:fill="auto"/>
            <w:vAlign w:val="center"/>
          </w:tcPr>
          <w:p w14:paraId="4DEBBE05">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部门（单位）履行职责对经济发展所带来的直接或间接影响。</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14:paraId="0DAAC173">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lang w:eastAsia="zh-CN"/>
              </w:rPr>
              <w:t>提高劳模待遇</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6ED1CF5D">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按绩效目标完成情况酌情扣分。</w:t>
            </w:r>
          </w:p>
        </w:tc>
        <w:tc>
          <w:tcPr>
            <w:tcW w:w="3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3FDB1F">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　</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A75308">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hint="eastAsia"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20ECEB">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center"/>
              <w:textAlignment w:val="auto"/>
              <w:rPr>
                <w:rFonts w:hint="eastAsia" w:ascii="Times New Roman" w:hAnsi="Times New Roman" w:eastAsia="宋体" w:cs="Times New Roman"/>
                <w:color w:val="000000"/>
                <w:kern w:val="0"/>
                <w:sz w:val="16"/>
                <w:szCs w:val="18"/>
                <w:highlight w:val="none"/>
                <w:lang w:val="en-US" w:eastAsia="zh-CN"/>
              </w:rPr>
            </w:pPr>
            <w:r>
              <w:rPr>
                <w:rFonts w:hint="eastAsia" w:ascii="Times New Roman" w:hAnsi="Times New Roman" w:eastAsia="宋体" w:cs="Times New Roman"/>
                <w:color w:val="000000"/>
                <w:kern w:val="0"/>
                <w:sz w:val="16"/>
                <w:szCs w:val="18"/>
                <w:highlight w:val="none"/>
                <w:lang w:val="en-US" w:eastAsia="zh-CN"/>
              </w:rPr>
              <w:t>11</w:t>
            </w:r>
            <w:r>
              <w:rPr>
                <w:rFonts w:ascii="Times New Roman" w:hAnsi="Times New Roman" w:eastAsia="宋体" w:cs="Times New Roman"/>
                <w:color w:val="000000"/>
                <w:kern w:val="0"/>
                <w:sz w:val="16"/>
                <w:szCs w:val="18"/>
                <w:highlight w:val="none"/>
              </w:rPr>
              <w:t xml:space="preserve"> </w:t>
            </w:r>
          </w:p>
        </w:tc>
      </w:tr>
      <w:tr w14:paraId="64B1D18C">
        <w:tblPrEx>
          <w:tblCellMar>
            <w:top w:w="0" w:type="dxa"/>
            <w:left w:w="108" w:type="dxa"/>
            <w:bottom w:w="0" w:type="dxa"/>
            <w:right w:w="108" w:type="dxa"/>
          </w:tblCellMar>
        </w:tblPrEx>
        <w:trPr>
          <w:trHeight w:val="824" w:hRule="atLeast"/>
        </w:trPr>
        <w:tc>
          <w:tcPr>
            <w:tcW w:w="28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5C83E2">
            <w:pPr>
              <w:widowControl/>
              <w:ind w:left="-105" w:leftChars="-50" w:right="-105" w:rightChars="-50"/>
              <w:jc w:val="left"/>
              <w:rPr>
                <w:rFonts w:hint="eastAsia" w:ascii="宋体" w:hAnsi="宋体" w:eastAsia="宋体" w:cs="Times New Roman"/>
                <w:color w:val="000000"/>
                <w:kern w:val="0"/>
                <w:sz w:val="16"/>
                <w:szCs w:val="18"/>
                <w:highlight w:val="none"/>
              </w:rPr>
            </w:pP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14:paraId="65DB63D3">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社会效益</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205A2ED2">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提升劳模荣誉感</w:t>
            </w:r>
          </w:p>
        </w:tc>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6A1B375F">
            <w:pPr>
              <w:widowControl/>
              <w:ind w:left="-105" w:leftChars="-50" w:right="-105" w:rightChars="-50"/>
              <w:jc w:val="center"/>
              <w:rPr>
                <w:rFonts w:hint="default" w:ascii="Times New Roman" w:hAnsi="Times New Roman" w:eastAsia="宋体" w:cs="Times New Roman"/>
                <w:color w:val="000000"/>
                <w:kern w:val="0"/>
                <w:sz w:val="16"/>
                <w:szCs w:val="18"/>
                <w:highlight w:val="none"/>
                <w:lang w:val="en-US" w:eastAsia="zh-CN"/>
              </w:rPr>
            </w:pPr>
            <w:r>
              <w:rPr>
                <w:rFonts w:hint="eastAsia" w:ascii="Times New Roman" w:hAnsi="Times New Roman" w:eastAsia="宋体" w:cs="Times New Roman"/>
                <w:color w:val="000000"/>
                <w:kern w:val="0"/>
                <w:sz w:val="16"/>
                <w:szCs w:val="18"/>
                <w:highlight w:val="none"/>
                <w:lang w:val="en-US" w:eastAsia="zh-CN"/>
              </w:rPr>
              <w:t>11</w:t>
            </w:r>
          </w:p>
        </w:tc>
        <w:tc>
          <w:tcPr>
            <w:tcW w:w="1056" w:type="pct"/>
            <w:tcBorders>
              <w:top w:val="single" w:color="auto" w:sz="4" w:space="0"/>
              <w:left w:val="single" w:color="auto" w:sz="4" w:space="0"/>
              <w:bottom w:val="single" w:color="auto" w:sz="4" w:space="0"/>
              <w:right w:val="single" w:color="auto" w:sz="4" w:space="0"/>
            </w:tcBorders>
            <w:shd w:val="clear" w:color="auto" w:fill="auto"/>
            <w:vAlign w:val="center"/>
          </w:tcPr>
          <w:p w14:paraId="6871D9E7">
            <w:pPr>
              <w:widowControl/>
              <w:ind w:left="-105" w:leftChars="-50" w:right="-105" w:rightChars="-50"/>
              <w:jc w:val="left"/>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部门（单位）履行职责对社会发展所带来的直接或间接影响。</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14:paraId="199E6A56">
            <w:pPr>
              <w:widowControl/>
              <w:ind w:left="-105" w:leftChars="-50" w:right="-105" w:rightChars="-50"/>
              <w:jc w:val="left"/>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提升劳模荣誉感。</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4844D3CA">
            <w:pPr>
              <w:widowControl/>
              <w:ind w:left="-105" w:leftChars="-50" w:right="-105" w:rightChars="-50"/>
              <w:jc w:val="left"/>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按绩效目标完成情况酌情扣分。</w:t>
            </w:r>
          </w:p>
        </w:tc>
        <w:tc>
          <w:tcPr>
            <w:tcW w:w="3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6407D9">
            <w:pPr>
              <w:widowControl/>
              <w:ind w:left="-105" w:leftChars="-50" w:right="-105" w:rightChars="-50"/>
              <w:jc w:val="left"/>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　</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84DC5F">
            <w:pPr>
              <w:widowControl/>
              <w:ind w:left="-105" w:leftChars="-50" w:right="-105" w:rightChars="-50"/>
              <w:jc w:val="center"/>
              <w:rPr>
                <w:rFonts w:hint="eastAsia"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900B14">
            <w:pPr>
              <w:widowControl/>
              <w:ind w:left="-105" w:leftChars="-50" w:right="-105" w:rightChars="-50"/>
              <w:jc w:val="center"/>
              <w:rPr>
                <w:rFonts w:hint="default" w:ascii="Times New Roman" w:hAnsi="Times New Roman" w:eastAsia="宋体" w:cs="Times New Roman"/>
                <w:color w:val="000000"/>
                <w:kern w:val="0"/>
                <w:sz w:val="16"/>
                <w:szCs w:val="18"/>
                <w:highlight w:val="none"/>
                <w:lang w:val="en-US" w:eastAsia="zh-CN"/>
              </w:rPr>
            </w:pPr>
            <w:r>
              <w:rPr>
                <w:rFonts w:hint="eastAsia" w:ascii="Times New Roman" w:hAnsi="Times New Roman" w:eastAsia="宋体" w:cs="Times New Roman"/>
                <w:color w:val="000000"/>
                <w:kern w:val="0"/>
                <w:sz w:val="16"/>
                <w:szCs w:val="18"/>
                <w:highlight w:val="none"/>
                <w:lang w:val="en-US" w:eastAsia="zh-CN"/>
              </w:rPr>
              <w:t>11</w:t>
            </w:r>
          </w:p>
        </w:tc>
      </w:tr>
      <w:tr w14:paraId="6550BBC5">
        <w:tblPrEx>
          <w:tblCellMar>
            <w:top w:w="0" w:type="dxa"/>
            <w:left w:w="108" w:type="dxa"/>
            <w:bottom w:w="0" w:type="dxa"/>
            <w:right w:w="108" w:type="dxa"/>
          </w:tblCellMar>
        </w:tblPrEx>
        <w:trPr>
          <w:trHeight w:val="255" w:hRule="atLeast"/>
        </w:trPr>
        <w:tc>
          <w:tcPr>
            <w:tcW w:w="28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58AC06">
            <w:pPr>
              <w:widowControl/>
              <w:ind w:left="-105" w:leftChars="-50" w:right="-105" w:rightChars="-50"/>
              <w:jc w:val="left"/>
              <w:rPr>
                <w:rFonts w:hint="eastAsia" w:ascii="宋体" w:hAnsi="宋体" w:eastAsia="宋体" w:cs="Times New Roman"/>
                <w:color w:val="000000"/>
                <w:kern w:val="0"/>
                <w:sz w:val="16"/>
                <w:szCs w:val="18"/>
                <w:highlight w:val="none"/>
              </w:rPr>
            </w:pP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14:paraId="3960CA49">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满意度</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4A0646EB">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劳模满意度</w:t>
            </w:r>
          </w:p>
        </w:tc>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1D11ADA9">
            <w:pPr>
              <w:widowControl/>
              <w:ind w:left="-105" w:leftChars="-50" w:right="-105" w:rightChars="-50"/>
              <w:jc w:val="center"/>
              <w:rPr>
                <w:rFonts w:hint="default" w:ascii="Times New Roman" w:hAnsi="Times New Roman" w:eastAsia="宋体" w:cs="Times New Roman"/>
                <w:color w:val="000000"/>
                <w:kern w:val="0"/>
                <w:sz w:val="16"/>
                <w:szCs w:val="18"/>
                <w:highlight w:val="none"/>
                <w:lang w:val="en-US" w:eastAsia="zh-CN"/>
              </w:rPr>
            </w:pPr>
            <w:r>
              <w:rPr>
                <w:rFonts w:hint="eastAsia" w:ascii="Times New Roman" w:hAnsi="Times New Roman" w:eastAsia="宋体" w:cs="Times New Roman"/>
                <w:color w:val="000000"/>
                <w:kern w:val="0"/>
                <w:sz w:val="16"/>
                <w:szCs w:val="18"/>
                <w:highlight w:val="none"/>
                <w:lang w:val="en-US" w:eastAsia="zh-CN"/>
              </w:rPr>
              <w:t>10</w:t>
            </w:r>
          </w:p>
        </w:tc>
        <w:tc>
          <w:tcPr>
            <w:tcW w:w="1056" w:type="pct"/>
            <w:tcBorders>
              <w:top w:val="single" w:color="auto" w:sz="4" w:space="0"/>
              <w:left w:val="single" w:color="auto" w:sz="4" w:space="0"/>
              <w:bottom w:val="single" w:color="auto" w:sz="4" w:space="0"/>
              <w:right w:val="single" w:color="auto" w:sz="4" w:space="0"/>
            </w:tcBorders>
            <w:shd w:val="clear" w:color="auto" w:fill="auto"/>
            <w:vAlign w:val="center"/>
          </w:tcPr>
          <w:p w14:paraId="3C720232">
            <w:pPr>
              <w:widowControl/>
              <w:ind w:left="-105" w:leftChars="-50" w:right="-105" w:rightChars="-50"/>
              <w:jc w:val="left"/>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部门履行职责对群众的影响。</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14:paraId="3CB5008D">
            <w:pPr>
              <w:widowControl/>
              <w:ind w:left="-105" w:leftChars="-50" w:right="-105" w:rightChars="-50"/>
              <w:jc w:val="left"/>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劳模满意度≥95%。</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24D0DC27">
            <w:pPr>
              <w:widowControl/>
              <w:ind w:left="-105" w:leftChars="-50" w:right="-105" w:rightChars="-50"/>
              <w:jc w:val="left"/>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满意度≥95%，不扣分；小于95%，按比例扣分。</w:t>
            </w:r>
          </w:p>
        </w:tc>
        <w:tc>
          <w:tcPr>
            <w:tcW w:w="3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4BE949">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满意度90%，</w:t>
            </w:r>
          </w:p>
          <w:p w14:paraId="343A31C1">
            <w:pPr>
              <w:widowControl/>
              <w:ind w:left="-105" w:leftChars="-50" w:right="-105" w:rightChars="-50"/>
              <w:jc w:val="left"/>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扣</w:t>
            </w:r>
            <w:r>
              <w:rPr>
                <w:rFonts w:hint="eastAsia" w:ascii="宋体" w:hAnsi="宋体" w:eastAsia="宋体" w:cs="Times New Roman"/>
                <w:color w:val="000000"/>
                <w:kern w:val="0"/>
                <w:sz w:val="16"/>
                <w:szCs w:val="18"/>
                <w:highlight w:val="none"/>
                <w:lang w:val="en-US" w:eastAsia="zh-CN"/>
              </w:rPr>
              <w:t>1</w:t>
            </w:r>
            <w:r>
              <w:rPr>
                <w:rFonts w:hint="eastAsia" w:ascii="宋体" w:hAnsi="宋体" w:eastAsia="宋体" w:cs="Times New Roman"/>
                <w:color w:val="000000"/>
                <w:kern w:val="0"/>
                <w:sz w:val="16"/>
                <w:szCs w:val="18"/>
                <w:highlight w:val="none"/>
              </w:rPr>
              <w:t>分</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6FFCFD">
            <w:pPr>
              <w:widowControl/>
              <w:ind w:left="-105" w:leftChars="-50" w:right="-105" w:rightChars="-50"/>
              <w:jc w:val="center"/>
              <w:rPr>
                <w:rFonts w:hint="default" w:ascii="Times New Roman" w:hAnsi="Times New Roman" w:eastAsia="宋体" w:cs="Times New Roman"/>
                <w:color w:val="000000"/>
                <w:kern w:val="0"/>
                <w:sz w:val="16"/>
                <w:szCs w:val="18"/>
                <w:highlight w:val="none"/>
                <w:lang w:val="en-US"/>
              </w:rPr>
            </w:pPr>
            <w:r>
              <w:rPr>
                <w:rFonts w:hint="eastAsia" w:ascii="Times New Roman" w:hAnsi="Times New Roman" w:eastAsia="宋体" w:cs="Times New Roman"/>
                <w:color w:val="000000"/>
                <w:kern w:val="0"/>
                <w:sz w:val="16"/>
                <w:szCs w:val="18"/>
                <w:highlight w:val="none"/>
                <w:lang w:val="en-US" w:eastAsia="zh-CN"/>
              </w:rPr>
              <w:t>1</w:t>
            </w:r>
          </w:p>
        </w:tc>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6BC9F1">
            <w:pPr>
              <w:widowControl/>
              <w:ind w:left="-105" w:leftChars="-50" w:right="-105" w:rightChars="-50"/>
              <w:jc w:val="center"/>
              <w:rPr>
                <w:rFonts w:hint="default" w:ascii="Times New Roman" w:hAnsi="Times New Roman" w:eastAsia="宋体" w:cs="Times New Roman"/>
                <w:color w:val="000000"/>
                <w:kern w:val="0"/>
                <w:sz w:val="16"/>
                <w:szCs w:val="18"/>
                <w:highlight w:val="none"/>
                <w:lang w:val="en-US" w:eastAsia="zh-CN"/>
              </w:rPr>
            </w:pPr>
            <w:r>
              <w:rPr>
                <w:rFonts w:hint="eastAsia" w:ascii="Times New Roman" w:hAnsi="Times New Roman" w:eastAsia="宋体" w:cs="Times New Roman"/>
                <w:color w:val="000000"/>
                <w:kern w:val="0"/>
                <w:sz w:val="16"/>
                <w:szCs w:val="18"/>
                <w:highlight w:val="none"/>
                <w:lang w:val="en-US" w:eastAsia="zh-CN"/>
              </w:rPr>
              <w:t>9</w:t>
            </w:r>
          </w:p>
        </w:tc>
      </w:tr>
      <w:tr w14:paraId="627B290A">
        <w:tblPrEx>
          <w:tblCellMar>
            <w:top w:w="0" w:type="dxa"/>
            <w:left w:w="108" w:type="dxa"/>
            <w:bottom w:w="0" w:type="dxa"/>
            <w:right w:w="108" w:type="dxa"/>
          </w:tblCellMar>
        </w:tblPrEx>
        <w:trPr>
          <w:trHeight w:val="255" w:hRule="atLeast"/>
        </w:trPr>
        <w:tc>
          <w:tcPr>
            <w:tcW w:w="2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4E1A7D">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xml:space="preserve">  </w:t>
            </w:r>
            <w:r>
              <w:rPr>
                <w:rFonts w:hint="eastAsia" w:ascii="宋体" w:hAnsi="宋体" w:eastAsia="宋体" w:cs="Times New Roman"/>
                <w:color w:val="000000"/>
                <w:kern w:val="0"/>
                <w:sz w:val="16"/>
                <w:szCs w:val="18"/>
                <w:highlight w:val="none"/>
              </w:rPr>
              <w:t>计</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14:paraId="4C837C40">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14E7CD9D">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760C24C2">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100</w:t>
            </w:r>
          </w:p>
        </w:tc>
        <w:tc>
          <w:tcPr>
            <w:tcW w:w="1056" w:type="pct"/>
            <w:tcBorders>
              <w:top w:val="single" w:color="auto" w:sz="4" w:space="0"/>
              <w:left w:val="single" w:color="auto" w:sz="4" w:space="0"/>
              <w:bottom w:val="single" w:color="auto" w:sz="4" w:space="0"/>
              <w:right w:val="single" w:color="auto" w:sz="4" w:space="0"/>
            </w:tcBorders>
            <w:shd w:val="clear" w:color="auto" w:fill="auto"/>
            <w:vAlign w:val="center"/>
          </w:tcPr>
          <w:p w14:paraId="6C38AD5F">
            <w:pPr>
              <w:widowControl/>
              <w:ind w:left="-105" w:leftChars="-50" w:right="-105" w:rightChars="-50"/>
              <w:jc w:val="left"/>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14:paraId="11B16F87">
            <w:pPr>
              <w:widowControl/>
              <w:ind w:left="-105" w:leftChars="-50" w:right="-105" w:rightChars="-50"/>
              <w:jc w:val="left"/>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046B1CDF">
            <w:pPr>
              <w:widowControl/>
              <w:ind w:left="-105" w:leftChars="-50" w:right="-105" w:rightChars="-50"/>
              <w:jc w:val="left"/>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347"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1FF4AC7">
            <w:pPr>
              <w:widowControl/>
              <w:ind w:left="-105" w:leftChars="-50" w:right="-105" w:rightChars="-50"/>
              <w:jc w:val="left"/>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AC6423">
            <w:pPr>
              <w:widowControl/>
              <w:ind w:left="-105" w:leftChars="-50" w:right="-105" w:rightChars="-50"/>
              <w:jc w:val="center"/>
              <w:rPr>
                <w:rFonts w:hint="default" w:ascii="Times New Roman" w:hAnsi="Times New Roman" w:eastAsia="宋体" w:cs="Times New Roman"/>
                <w:color w:val="000000"/>
                <w:kern w:val="0"/>
                <w:sz w:val="16"/>
                <w:szCs w:val="18"/>
                <w:highlight w:val="none"/>
                <w:lang w:val="en-US" w:eastAsia="zh-CN"/>
              </w:rPr>
            </w:pPr>
            <w:r>
              <w:rPr>
                <w:rFonts w:hint="eastAsia" w:ascii="Times New Roman" w:hAnsi="Times New Roman" w:eastAsia="宋体" w:cs="Times New Roman"/>
                <w:color w:val="000000"/>
                <w:kern w:val="0"/>
                <w:sz w:val="16"/>
                <w:szCs w:val="18"/>
                <w:highlight w:val="none"/>
              </w:rPr>
              <w:t>5</w:t>
            </w:r>
            <w:r>
              <w:rPr>
                <w:rFonts w:hint="eastAsia" w:ascii="Times New Roman" w:hAnsi="Times New Roman" w:eastAsia="宋体" w:cs="Times New Roman"/>
                <w:color w:val="000000"/>
                <w:kern w:val="0"/>
                <w:sz w:val="16"/>
                <w:szCs w:val="18"/>
                <w:highlight w:val="none"/>
                <w:lang w:val="en-US" w:eastAsia="zh-CN"/>
              </w:rPr>
              <w:t>.5</w:t>
            </w:r>
          </w:p>
        </w:tc>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22ECF9">
            <w:pPr>
              <w:widowControl/>
              <w:ind w:left="-105" w:leftChars="-50" w:right="-105" w:rightChars="-50"/>
              <w:jc w:val="center"/>
              <w:rPr>
                <w:rFonts w:hint="default" w:ascii="Times New Roman" w:hAnsi="Times New Roman" w:eastAsia="宋体" w:cs="Times New Roman"/>
                <w:color w:val="000000"/>
                <w:kern w:val="0"/>
                <w:sz w:val="16"/>
                <w:szCs w:val="18"/>
                <w:highlight w:val="none"/>
                <w:lang w:val="en-US" w:eastAsia="zh-CN"/>
              </w:rPr>
            </w:pPr>
            <w:r>
              <w:rPr>
                <w:rFonts w:hint="eastAsia" w:ascii="Times New Roman" w:hAnsi="Times New Roman" w:eastAsia="宋体" w:cs="Times New Roman"/>
                <w:color w:val="000000"/>
                <w:kern w:val="0"/>
                <w:sz w:val="16"/>
                <w:szCs w:val="18"/>
                <w:highlight w:val="none"/>
                <w:lang w:val="en-US" w:eastAsia="zh-CN"/>
              </w:rPr>
              <w:t>94.5</w:t>
            </w:r>
          </w:p>
        </w:tc>
      </w:tr>
    </w:tbl>
    <w:p w14:paraId="7DF90539">
      <w:pPr>
        <w:rPr>
          <w:rFonts w:ascii="仿宋_GB2312" w:eastAsia="仿宋_GB2312"/>
          <w:sz w:val="32"/>
          <w:szCs w:val="32"/>
          <w:highlight w:val="none"/>
        </w:rPr>
      </w:pPr>
    </w:p>
    <w:sectPr>
      <w:footerReference r:id="rId10"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82045">
    <w:pPr>
      <w:pStyle w:val="8"/>
      <w:jc w:val="center"/>
    </w:pPr>
  </w:p>
  <w:p w14:paraId="309070B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6D014">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7C2F2">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C3E33">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3D5E6E">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13D5E6E">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6D94483A">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9F11B">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F6EC21">
                          <w:pPr>
                            <w:pStyle w:val="8"/>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2EF6EC21">
                    <w:pPr>
                      <w:pStyle w:val="8"/>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p w14:paraId="5D43DC4E">
    <w:pPr>
      <w:pStyle w:val="8"/>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FEBD2">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644B">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D0E35">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C33021"/>
    <w:multiLevelType w:val="multilevel"/>
    <w:tmpl w:val="69C33021"/>
    <w:lvl w:ilvl="0" w:tentative="0">
      <w:start w:val="2"/>
      <w:numFmt w:val="decimal"/>
      <w:lvlText w:val="%1"/>
      <w:lvlJc w:val="left"/>
      <w:pPr>
        <w:ind w:left="255" w:hanging="360"/>
      </w:pPr>
      <w:rPr>
        <w:rFonts w:hint="default" w:ascii="Times New Roman" w:hAnsi="Times New Roman"/>
      </w:rPr>
    </w:lvl>
    <w:lvl w:ilvl="1" w:tentative="0">
      <w:start w:val="1"/>
      <w:numFmt w:val="lowerLetter"/>
      <w:lvlText w:val="%2)"/>
      <w:lvlJc w:val="left"/>
      <w:pPr>
        <w:ind w:left="735" w:hanging="420"/>
      </w:pPr>
    </w:lvl>
    <w:lvl w:ilvl="2" w:tentative="0">
      <w:start w:val="1"/>
      <w:numFmt w:val="lowerRoman"/>
      <w:lvlText w:val="%3."/>
      <w:lvlJc w:val="right"/>
      <w:pPr>
        <w:ind w:left="1155" w:hanging="420"/>
      </w:pPr>
    </w:lvl>
    <w:lvl w:ilvl="3" w:tentative="0">
      <w:start w:val="1"/>
      <w:numFmt w:val="decimal"/>
      <w:lvlText w:val="%4."/>
      <w:lvlJc w:val="left"/>
      <w:pPr>
        <w:ind w:left="1575" w:hanging="420"/>
      </w:pPr>
    </w:lvl>
    <w:lvl w:ilvl="4" w:tentative="0">
      <w:start w:val="1"/>
      <w:numFmt w:val="lowerLetter"/>
      <w:lvlText w:val="%5)"/>
      <w:lvlJc w:val="left"/>
      <w:pPr>
        <w:ind w:left="1995" w:hanging="420"/>
      </w:pPr>
    </w:lvl>
    <w:lvl w:ilvl="5" w:tentative="0">
      <w:start w:val="1"/>
      <w:numFmt w:val="lowerRoman"/>
      <w:lvlText w:val="%6."/>
      <w:lvlJc w:val="right"/>
      <w:pPr>
        <w:ind w:left="2415" w:hanging="420"/>
      </w:pPr>
    </w:lvl>
    <w:lvl w:ilvl="6" w:tentative="0">
      <w:start w:val="1"/>
      <w:numFmt w:val="decimal"/>
      <w:lvlText w:val="%7."/>
      <w:lvlJc w:val="left"/>
      <w:pPr>
        <w:ind w:left="2835" w:hanging="420"/>
      </w:pPr>
    </w:lvl>
    <w:lvl w:ilvl="7" w:tentative="0">
      <w:start w:val="1"/>
      <w:numFmt w:val="lowerLetter"/>
      <w:lvlText w:val="%8)"/>
      <w:lvlJc w:val="left"/>
      <w:pPr>
        <w:ind w:left="3255" w:hanging="420"/>
      </w:pPr>
    </w:lvl>
    <w:lvl w:ilvl="8" w:tentative="0">
      <w:start w:val="1"/>
      <w:numFmt w:val="lowerRoman"/>
      <w:lvlText w:val="%9."/>
      <w:lvlJc w:val="right"/>
      <w:pPr>
        <w:ind w:left="36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ZmM3OTVlODlkZDZjNGE0MjM0N2YzMmYxODVkOTAifQ=="/>
  </w:docVars>
  <w:rsids>
    <w:rsidRoot w:val="00485E2F"/>
    <w:rsid w:val="000010AB"/>
    <w:rsid w:val="0000437D"/>
    <w:rsid w:val="0000456D"/>
    <w:rsid w:val="000046F4"/>
    <w:rsid w:val="00005280"/>
    <w:rsid w:val="00006775"/>
    <w:rsid w:val="0000689D"/>
    <w:rsid w:val="00006D79"/>
    <w:rsid w:val="000074CD"/>
    <w:rsid w:val="00007844"/>
    <w:rsid w:val="00007FEB"/>
    <w:rsid w:val="00010B4C"/>
    <w:rsid w:val="00011137"/>
    <w:rsid w:val="0001133A"/>
    <w:rsid w:val="0001312B"/>
    <w:rsid w:val="000141D6"/>
    <w:rsid w:val="00014FB9"/>
    <w:rsid w:val="000158F7"/>
    <w:rsid w:val="00015C19"/>
    <w:rsid w:val="000165E2"/>
    <w:rsid w:val="0001719D"/>
    <w:rsid w:val="0001724D"/>
    <w:rsid w:val="000175EA"/>
    <w:rsid w:val="0001778E"/>
    <w:rsid w:val="00017AA2"/>
    <w:rsid w:val="00020C76"/>
    <w:rsid w:val="00021043"/>
    <w:rsid w:val="00021368"/>
    <w:rsid w:val="000218F2"/>
    <w:rsid w:val="00023516"/>
    <w:rsid w:val="0002356F"/>
    <w:rsid w:val="00023CCA"/>
    <w:rsid w:val="00023E30"/>
    <w:rsid w:val="00023ED6"/>
    <w:rsid w:val="000241AD"/>
    <w:rsid w:val="00024B2C"/>
    <w:rsid w:val="00025FC1"/>
    <w:rsid w:val="00025FEC"/>
    <w:rsid w:val="000263B3"/>
    <w:rsid w:val="000275D2"/>
    <w:rsid w:val="0002777D"/>
    <w:rsid w:val="00031B9D"/>
    <w:rsid w:val="000323DD"/>
    <w:rsid w:val="00033667"/>
    <w:rsid w:val="00033CE8"/>
    <w:rsid w:val="000341B0"/>
    <w:rsid w:val="0003485F"/>
    <w:rsid w:val="000353E7"/>
    <w:rsid w:val="00035532"/>
    <w:rsid w:val="00035E83"/>
    <w:rsid w:val="00036ECB"/>
    <w:rsid w:val="00036FCF"/>
    <w:rsid w:val="00037A04"/>
    <w:rsid w:val="00037CC5"/>
    <w:rsid w:val="00042B9E"/>
    <w:rsid w:val="00043675"/>
    <w:rsid w:val="000439DA"/>
    <w:rsid w:val="000444A9"/>
    <w:rsid w:val="00044B99"/>
    <w:rsid w:val="00045501"/>
    <w:rsid w:val="000458FB"/>
    <w:rsid w:val="000463C8"/>
    <w:rsid w:val="000467EF"/>
    <w:rsid w:val="00047547"/>
    <w:rsid w:val="0004774C"/>
    <w:rsid w:val="000502C1"/>
    <w:rsid w:val="00050D8B"/>
    <w:rsid w:val="0005108A"/>
    <w:rsid w:val="00051DC2"/>
    <w:rsid w:val="000529E6"/>
    <w:rsid w:val="00052A26"/>
    <w:rsid w:val="00053977"/>
    <w:rsid w:val="00053E20"/>
    <w:rsid w:val="00054834"/>
    <w:rsid w:val="00055760"/>
    <w:rsid w:val="00055E50"/>
    <w:rsid w:val="00056052"/>
    <w:rsid w:val="000570F5"/>
    <w:rsid w:val="00057670"/>
    <w:rsid w:val="00057961"/>
    <w:rsid w:val="00057F82"/>
    <w:rsid w:val="000612AA"/>
    <w:rsid w:val="00061598"/>
    <w:rsid w:val="000615FD"/>
    <w:rsid w:val="00064375"/>
    <w:rsid w:val="0006469B"/>
    <w:rsid w:val="00066A5B"/>
    <w:rsid w:val="0006746C"/>
    <w:rsid w:val="0006776B"/>
    <w:rsid w:val="00067F2B"/>
    <w:rsid w:val="000708C7"/>
    <w:rsid w:val="0007129E"/>
    <w:rsid w:val="000712B4"/>
    <w:rsid w:val="00071AA7"/>
    <w:rsid w:val="00072FFA"/>
    <w:rsid w:val="00073059"/>
    <w:rsid w:val="00073FF7"/>
    <w:rsid w:val="00075240"/>
    <w:rsid w:val="00075C9B"/>
    <w:rsid w:val="00075D6B"/>
    <w:rsid w:val="00076152"/>
    <w:rsid w:val="000761B4"/>
    <w:rsid w:val="00076294"/>
    <w:rsid w:val="00076317"/>
    <w:rsid w:val="00077986"/>
    <w:rsid w:val="000807F6"/>
    <w:rsid w:val="00080C13"/>
    <w:rsid w:val="00082DF9"/>
    <w:rsid w:val="00083FF5"/>
    <w:rsid w:val="000847E2"/>
    <w:rsid w:val="00084D52"/>
    <w:rsid w:val="000856F9"/>
    <w:rsid w:val="00086021"/>
    <w:rsid w:val="000862F3"/>
    <w:rsid w:val="000879D4"/>
    <w:rsid w:val="0009067E"/>
    <w:rsid w:val="000909C2"/>
    <w:rsid w:val="00090E17"/>
    <w:rsid w:val="000918C3"/>
    <w:rsid w:val="0009215C"/>
    <w:rsid w:val="00092508"/>
    <w:rsid w:val="00092574"/>
    <w:rsid w:val="00092A81"/>
    <w:rsid w:val="00092B3C"/>
    <w:rsid w:val="0009363F"/>
    <w:rsid w:val="00093683"/>
    <w:rsid w:val="00093D7B"/>
    <w:rsid w:val="00094CD9"/>
    <w:rsid w:val="000951C4"/>
    <w:rsid w:val="00095720"/>
    <w:rsid w:val="00096C82"/>
    <w:rsid w:val="000971AB"/>
    <w:rsid w:val="000976B4"/>
    <w:rsid w:val="00097DC0"/>
    <w:rsid w:val="000A013C"/>
    <w:rsid w:val="000A064A"/>
    <w:rsid w:val="000A08AF"/>
    <w:rsid w:val="000A091C"/>
    <w:rsid w:val="000A10A6"/>
    <w:rsid w:val="000A1961"/>
    <w:rsid w:val="000A2BAC"/>
    <w:rsid w:val="000A3444"/>
    <w:rsid w:val="000A3B4F"/>
    <w:rsid w:val="000A53C4"/>
    <w:rsid w:val="000A56FD"/>
    <w:rsid w:val="000A5739"/>
    <w:rsid w:val="000A6176"/>
    <w:rsid w:val="000A744F"/>
    <w:rsid w:val="000B09D0"/>
    <w:rsid w:val="000B2287"/>
    <w:rsid w:val="000B25F2"/>
    <w:rsid w:val="000B2A96"/>
    <w:rsid w:val="000B43CF"/>
    <w:rsid w:val="000B4C40"/>
    <w:rsid w:val="000B4EE5"/>
    <w:rsid w:val="000B519A"/>
    <w:rsid w:val="000B629C"/>
    <w:rsid w:val="000B6FE2"/>
    <w:rsid w:val="000C04C1"/>
    <w:rsid w:val="000C1965"/>
    <w:rsid w:val="000C1A18"/>
    <w:rsid w:val="000C26C7"/>
    <w:rsid w:val="000C2963"/>
    <w:rsid w:val="000C2B6E"/>
    <w:rsid w:val="000C3960"/>
    <w:rsid w:val="000C4515"/>
    <w:rsid w:val="000C485E"/>
    <w:rsid w:val="000C52F6"/>
    <w:rsid w:val="000C55F2"/>
    <w:rsid w:val="000C5F21"/>
    <w:rsid w:val="000C5F4B"/>
    <w:rsid w:val="000C631A"/>
    <w:rsid w:val="000C694D"/>
    <w:rsid w:val="000C73DF"/>
    <w:rsid w:val="000C7A81"/>
    <w:rsid w:val="000D1044"/>
    <w:rsid w:val="000D1716"/>
    <w:rsid w:val="000D2170"/>
    <w:rsid w:val="000D26EA"/>
    <w:rsid w:val="000D38FC"/>
    <w:rsid w:val="000D4FCC"/>
    <w:rsid w:val="000D5478"/>
    <w:rsid w:val="000D6F22"/>
    <w:rsid w:val="000D799D"/>
    <w:rsid w:val="000D7A12"/>
    <w:rsid w:val="000E0689"/>
    <w:rsid w:val="000E2777"/>
    <w:rsid w:val="000E2B4E"/>
    <w:rsid w:val="000E4686"/>
    <w:rsid w:val="000E4AB7"/>
    <w:rsid w:val="000E5704"/>
    <w:rsid w:val="000E57A6"/>
    <w:rsid w:val="000E6281"/>
    <w:rsid w:val="000E6590"/>
    <w:rsid w:val="000E6E20"/>
    <w:rsid w:val="000E7C8D"/>
    <w:rsid w:val="000E7F2A"/>
    <w:rsid w:val="000F1D8F"/>
    <w:rsid w:val="000F25BA"/>
    <w:rsid w:val="000F5230"/>
    <w:rsid w:val="000F52EA"/>
    <w:rsid w:val="000F5ACA"/>
    <w:rsid w:val="000F5B1E"/>
    <w:rsid w:val="000F5B64"/>
    <w:rsid w:val="000F5DBE"/>
    <w:rsid w:val="000F6898"/>
    <w:rsid w:val="000F78F2"/>
    <w:rsid w:val="000F7931"/>
    <w:rsid w:val="00100DED"/>
    <w:rsid w:val="00101752"/>
    <w:rsid w:val="001017F1"/>
    <w:rsid w:val="00101891"/>
    <w:rsid w:val="00101AF5"/>
    <w:rsid w:val="00101E80"/>
    <w:rsid w:val="001027DE"/>
    <w:rsid w:val="00102E11"/>
    <w:rsid w:val="00102E6A"/>
    <w:rsid w:val="00102F14"/>
    <w:rsid w:val="00103105"/>
    <w:rsid w:val="00103203"/>
    <w:rsid w:val="00103412"/>
    <w:rsid w:val="001041FF"/>
    <w:rsid w:val="00104B78"/>
    <w:rsid w:val="001053D8"/>
    <w:rsid w:val="001055DA"/>
    <w:rsid w:val="00105FF5"/>
    <w:rsid w:val="00106426"/>
    <w:rsid w:val="001064DA"/>
    <w:rsid w:val="00107346"/>
    <w:rsid w:val="001079D4"/>
    <w:rsid w:val="00107C4F"/>
    <w:rsid w:val="00107D6F"/>
    <w:rsid w:val="001107FF"/>
    <w:rsid w:val="00110BB4"/>
    <w:rsid w:val="001112E0"/>
    <w:rsid w:val="001115F7"/>
    <w:rsid w:val="00112195"/>
    <w:rsid w:val="001127F6"/>
    <w:rsid w:val="00112FE3"/>
    <w:rsid w:val="001131F3"/>
    <w:rsid w:val="00115727"/>
    <w:rsid w:val="00115995"/>
    <w:rsid w:val="0011608B"/>
    <w:rsid w:val="00116152"/>
    <w:rsid w:val="00117C3F"/>
    <w:rsid w:val="0012062B"/>
    <w:rsid w:val="00120803"/>
    <w:rsid w:val="00120CF8"/>
    <w:rsid w:val="00122B50"/>
    <w:rsid w:val="00122CF3"/>
    <w:rsid w:val="001236F0"/>
    <w:rsid w:val="00123A34"/>
    <w:rsid w:val="00124693"/>
    <w:rsid w:val="001254E4"/>
    <w:rsid w:val="0012565C"/>
    <w:rsid w:val="0012578D"/>
    <w:rsid w:val="001258FD"/>
    <w:rsid w:val="00125B28"/>
    <w:rsid w:val="001268D6"/>
    <w:rsid w:val="0012738E"/>
    <w:rsid w:val="00127500"/>
    <w:rsid w:val="00127984"/>
    <w:rsid w:val="00130409"/>
    <w:rsid w:val="00130FE3"/>
    <w:rsid w:val="00132779"/>
    <w:rsid w:val="00133E08"/>
    <w:rsid w:val="00133F3A"/>
    <w:rsid w:val="00134073"/>
    <w:rsid w:val="00134D6A"/>
    <w:rsid w:val="00134D74"/>
    <w:rsid w:val="001367B9"/>
    <w:rsid w:val="001368DC"/>
    <w:rsid w:val="00136F6E"/>
    <w:rsid w:val="00140348"/>
    <w:rsid w:val="00140F0E"/>
    <w:rsid w:val="00141A62"/>
    <w:rsid w:val="00141E4E"/>
    <w:rsid w:val="00141EF4"/>
    <w:rsid w:val="00142278"/>
    <w:rsid w:val="0014352F"/>
    <w:rsid w:val="00144181"/>
    <w:rsid w:val="00144BB0"/>
    <w:rsid w:val="0014518D"/>
    <w:rsid w:val="00146C14"/>
    <w:rsid w:val="00146F5F"/>
    <w:rsid w:val="001471F8"/>
    <w:rsid w:val="00147D4E"/>
    <w:rsid w:val="00150CF2"/>
    <w:rsid w:val="00150E26"/>
    <w:rsid w:val="00151B47"/>
    <w:rsid w:val="00152643"/>
    <w:rsid w:val="001535B8"/>
    <w:rsid w:val="00153C0E"/>
    <w:rsid w:val="00153C9D"/>
    <w:rsid w:val="00154053"/>
    <w:rsid w:val="001544B1"/>
    <w:rsid w:val="0015499C"/>
    <w:rsid w:val="001551AA"/>
    <w:rsid w:val="001554FA"/>
    <w:rsid w:val="0015581C"/>
    <w:rsid w:val="0015605E"/>
    <w:rsid w:val="00156738"/>
    <w:rsid w:val="00156921"/>
    <w:rsid w:val="00157933"/>
    <w:rsid w:val="00157C98"/>
    <w:rsid w:val="0016049A"/>
    <w:rsid w:val="00160949"/>
    <w:rsid w:val="001610DA"/>
    <w:rsid w:val="001618F8"/>
    <w:rsid w:val="00161ACA"/>
    <w:rsid w:val="00161D8A"/>
    <w:rsid w:val="001621D9"/>
    <w:rsid w:val="0016280F"/>
    <w:rsid w:val="00162D59"/>
    <w:rsid w:val="00163940"/>
    <w:rsid w:val="00164E09"/>
    <w:rsid w:val="00165A13"/>
    <w:rsid w:val="00165FB5"/>
    <w:rsid w:val="001665A8"/>
    <w:rsid w:val="00170341"/>
    <w:rsid w:val="00170AEB"/>
    <w:rsid w:val="001716BB"/>
    <w:rsid w:val="00171F6D"/>
    <w:rsid w:val="001729B0"/>
    <w:rsid w:val="00172BF0"/>
    <w:rsid w:val="001732FF"/>
    <w:rsid w:val="001743B9"/>
    <w:rsid w:val="001747C6"/>
    <w:rsid w:val="00174DB8"/>
    <w:rsid w:val="00174F13"/>
    <w:rsid w:val="00175562"/>
    <w:rsid w:val="001756D4"/>
    <w:rsid w:val="001758F8"/>
    <w:rsid w:val="00175907"/>
    <w:rsid w:val="00175CA7"/>
    <w:rsid w:val="001762EF"/>
    <w:rsid w:val="0017672F"/>
    <w:rsid w:val="00176F4F"/>
    <w:rsid w:val="00177754"/>
    <w:rsid w:val="0018012B"/>
    <w:rsid w:val="00180218"/>
    <w:rsid w:val="001802CA"/>
    <w:rsid w:val="00180817"/>
    <w:rsid w:val="00181026"/>
    <w:rsid w:val="001821EB"/>
    <w:rsid w:val="001828EA"/>
    <w:rsid w:val="00182BD0"/>
    <w:rsid w:val="00183876"/>
    <w:rsid w:val="00184950"/>
    <w:rsid w:val="00184AD5"/>
    <w:rsid w:val="00185220"/>
    <w:rsid w:val="00185433"/>
    <w:rsid w:val="001855C7"/>
    <w:rsid w:val="00186928"/>
    <w:rsid w:val="00186A89"/>
    <w:rsid w:val="00186B63"/>
    <w:rsid w:val="00187183"/>
    <w:rsid w:val="001874C0"/>
    <w:rsid w:val="00187637"/>
    <w:rsid w:val="00187C89"/>
    <w:rsid w:val="001913CC"/>
    <w:rsid w:val="001927D6"/>
    <w:rsid w:val="001928F8"/>
    <w:rsid w:val="00193A45"/>
    <w:rsid w:val="00193A4D"/>
    <w:rsid w:val="00194B3C"/>
    <w:rsid w:val="00194E5C"/>
    <w:rsid w:val="00195431"/>
    <w:rsid w:val="00195587"/>
    <w:rsid w:val="001963A9"/>
    <w:rsid w:val="00196B5E"/>
    <w:rsid w:val="00196C07"/>
    <w:rsid w:val="001975B3"/>
    <w:rsid w:val="00197AA1"/>
    <w:rsid w:val="00197CAB"/>
    <w:rsid w:val="001A011E"/>
    <w:rsid w:val="001A0239"/>
    <w:rsid w:val="001A023C"/>
    <w:rsid w:val="001A0433"/>
    <w:rsid w:val="001A0E87"/>
    <w:rsid w:val="001A11AB"/>
    <w:rsid w:val="001A1AFD"/>
    <w:rsid w:val="001A1B71"/>
    <w:rsid w:val="001A2008"/>
    <w:rsid w:val="001A211E"/>
    <w:rsid w:val="001A2338"/>
    <w:rsid w:val="001A2475"/>
    <w:rsid w:val="001A2CCC"/>
    <w:rsid w:val="001A38DB"/>
    <w:rsid w:val="001A3E68"/>
    <w:rsid w:val="001A5A81"/>
    <w:rsid w:val="001A5FCC"/>
    <w:rsid w:val="001A722F"/>
    <w:rsid w:val="001A7784"/>
    <w:rsid w:val="001B029D"/>
    <w:rsid w:val="001B0415"/>
    <w:rsid w:val="001B1174"/>
    <w:rsid w:val="001B1548"/>
    <w:rsid w:val="001B1ABB"/>
    <w:rsid w:val="001B225E"/>
    <w:rsid w:val="001B287B"/>
    <w:rsid w:val="001B2929"/>
    <w:rsid w:val="001B2ECE"/>
    <w:rsid w:val="001B3100"/>
    <w:rsid w:val="001B463C"/>
    <w:rsid w:val="001B504F"/>
    <w:rsid w:val="001B5E93"/>
    <w:rsid w:val="001B647C"/>
    <w:rsid w:val="001B69AA"/>
    <w:rsid w:val="001B6B1F"/>
    <w:rsid w:val="001B6E11"/>
    <w:rsid w:val="001B73F9"/>
    <w:rsid w:val="001C011D"/>
    <w:rsid w:val="001C0B54"/>
    <w:rsid w:val="001C104B"/>
    <w:rsid w:val="001C121C"/>
    <w:rsid w:val="001C13E2"/>
    <w:rsid w:val="001C1D7E"/>
    <w:rsid w:val="001C23E0"/>
    <w:rsid w:val="001C38C7"/>
    <w:rsid w:val="001C3DDA"/>
    <w:rsid w:val="001C3E0A"/>
    <w:rsid w:val="001C4084"/>
    <w:rsid w:val="001C412C"/>
    <w:rsid w:val="001C45D9"/>
    <w:rsid w:val="001C4CBD"/>
    <w:rsid w:val="001C6148"/>
    <w:rsid w:val="001C7418"/>
    <w:rsid w:val="001C7886"/>
    <w:rsid w:val="001D08D9"/>
    <w:rsid w:val="001D1806"/>
    <w:rsid w:val="001D1E50"/>
    <w:rsid w:val="001D1FAD"/>
    <w:rsid w:val="001D2A54"/>
    <w:rsid w:val="001D38DD"/>
    <w:rsid w:val="001D3AB0"/>
    <w:rsid w:val="001D44E0"/>
    <w:rsid w:val="001D4612"/>
    <w:rsid w:val="001D5BD5"/>
    <w:rsid w:val="001D5D92"/>
    <w:rsid w:val="001D5E57"/>
    <w:rsid w:val="001D6174"/>
    <w:rsid w:val="001D66B5"/>
    <w:rsid w:val="001D70D0"/>
    <w:rsid w:val="001D7C4B"/>
    <w:rsid w:val="001E099F"/>
    <w:rsid w:val="001E0B1F"/>
    <w:rsid w:val="001E0FAF"/>
    <w:rsid w:val="001E1326"/>
    <w:rsid w:val="001E29B7"/>
    <w:rsid w:val="001E37E9"/>
    <w:rsid w:val="001E3EC8"/>
    <w:rsid w:val="001E4204"/>
    <w:rsid w:val="001E4532"/>
    <w:rsid w:val="001E45E5"/>
    <w:rsid w:val="001E460C"/>
    <w:rsid w:val="001E4953"/>
    <w:rsid w:val="001E4D7B"/>
    <w:rsid w:val="001E4FE4"/>
    <w:rsid w:val="001E5D18"/>
    <w:rsid w:val="001E706D"/>
    <w:rsid w:val="001E7C1D"/>
    <w:rsid w:val="001F162D"/>
    <w:rsid w:val="001F1D1C"/>
    <w:rsid w:val="001F25F1"/>
    <w:rsid w:val="001F362E"/>
    <w:rsid w:val="001F3744"/>
    <w:rsid w:val="001F3B5F"/>
    <w:rsid w:val="001F486E"/>
    <w:rsid w:val="001F4F23"/>
    <w:rsid w:val="001F504E"/>
    <w:rsid w:val="001F5D10"/>
    <w:rsid w:val="001F5F19"/>
    <w:rsid w:val="001F60B3"/>
    <w:rsid w:val="001F6614"/>
    <w:rsid w:val="001F68FA"/>
    <w:rsid w:val="001F6C1C"/>
    <w:rsid w:val="001F748A"/>
    <w:rsid w:val="001F792B"/>
    <w:rsid w:val="001F7ADF"/>
    <w:rsid w:val="002006DB"/>
    <w:rsid w:val="0020083C"/>
    <w:rsid w:val="002014FC"/>
    <w:rsid w:val="00201C42"/>
    <w:rsid w:val="00202026"/>
    <w:rsid w:val="00202C53"/>
    <w:rsid w:val="00203004"/>
    <w:rsid w:val="00203187"/>
    <w:rsid w:val="00203784"/>
    <w:rsid w:val="00204587"/>
    <w:rsid w:val="002065DD"/>
    <w:rsid w:val="00206964"/>
    <w:rsid w:val="00207069"/>
    <w:rsid w:val="00207A63"/>
    <w:rsid w:val="0021037A"/>
    <w:rsid w:val="0021077B"/>
    <w:rsid w:val="00211FF3"/>
    <w:rsid w:val="002134D8"/>
    <w:rsid w:val="0021416E"/>
    <w:rsid w:val="002141C1"/>
    <w:rsid w:val="0021513E"/>
    <w:rsid w:val="00215212"/>
    <w:rsid w:val="00216401"/>
    <w:rsid w:val="00217079"/>
    <w:rsid w:val="0022036A"/>
    <w:rsid w:val="002203AF"/>
    <w:rsid w:val="00220F16"/>
    <w:rsid w:val="0022157F"/>
    <w:rsid w:val="0022211C"/>
    <w:rsid w:val="002221DF"/>
    <w:rsid w:val="00222CFC"/>
    <w:rsid w:val="0022318D"/>
    <w:rsid w:val="002234DA"/>
    <w:rsid w:val="0022424F"/>
    <w:rsid w:val="00224957"/>
    <w:rsid w:val="00224E17"/>
    <w:rsid w:val="00225450"/>
    <w:rsid w:val="002258A0"/>
    <w:rsid w:val="00226270"/>
    <w:rsid w:val="00226483"/>
    <w:rsid w:val="00226A16"/>
    <w:rsid w:val="002271A9"/>
    <w:rsid w:val="00227222"/>
    <w:rsid w:val="00227ED1"/>
    <w:rsid w:val="00230455"/>
    <w:rsid w:val="002306FD"/>
    <w:rsid w:val="002314C5"/>
    <w:rsid w:val="00231923"/>
    <w:rsid w:val="00231AE9"/>
    <w:rsid w:val="00232E5C"/>
    <w:rsid w:val="00232EFD"/>
    <w:rsid w:val="00233341"/>
    <w:rsid w:val="0023355D"/>
    <w:rsid w:val="0023371B"/>
    <w:rsid w:val="00234276"/>
    <w:rsid w:val="0023444B"/>
    <w:rsid w:val="00234AC1"/>
    <w:rsid w:val="00234B95"/>
    <w:rsid w:val="00235461"/>
    <w:rsid w:val="00235F01"/>
    <w:rsid w:val="002361C4"/>
    <w:rsid w:val="00236688"/>
    <w:rsid w:val="002368F8"/>
    <w:rsid w:val="00236B75"/>
    <w:rsid w:val="00237D52"/>
    <w:rsid w:val="00240125"/>
    <w:rsid w:val="002407AF"/>
    <w:rsid w:val="0024114B"/>
    <w:rsid w:val="00241BE1"/>
    <w:rsid w:val="00241D57"/>
    <w:rsid w:val="00242149"/>
    <w:rsid w:val="002425BA"/>
    <w:rsid w:val="00243022"/>
    <w:rsid w:val="00243C14"/>
    <w:rsid w:val="00246E9F"/>
    <w:rsid w:val="00247A1D"/>
    <w:rsid w:val="00247C41"/>
    <w:rsid w:val="002500F5"/>
    <w:rsid w:val="002506AB"/>
    <w:rsid w:val="00250D74"/>
    <w:rsid w:val="00251E8B"/>
    <w:rsid w:val="0025257C"/>
    <w:rsid w:val="00255106"/>
    <w:rsid w:val="00255516"/>
    <w:rsid w:val="0025587C"/>
    <w:rsid w:val="0025598A"/>
    <w:rsid w:val="002559FD"/>
    <w:rsid w:val="00255E20"/>
    <w:rsid w:val="002567EF"/>
    <w:rsid w:val="00256CB8"/>
    <w:rsid w:val="002575AE"/>
    <w:rsid w:val="00257604"/>
    <w:rsid w:val="00257D71"/>
    <w:rsid w:val="00257F26"/>
    <w:rsid w:val="00260B90"/>
    <w:rsid w:val="00261401"/>
    <w:rsid w:val="002623B2"/>
    <w:rsid w:val="002623B7"/>
    <w:rsid w:val="00262B7D"/>
    <w:rsid w:val="00262ECB"/>
    <w:rsid w:val="002642D6"/>
    <w:rsid w:val="002646BD"/>
    <w:rsid w:val="00264D67"/>
    <w:rsid w:val="002656B6"/>
    <w:rsid w:val="00265A3B"/>
    <w:rsid w:val="00265ECC"/>
    <w:rsid w:val="00266A40"/>
    <w:rsid w:val="00266B8C"/>
    <w:rsid w:val="00267052"/>
    <w:rsid w:val="00267EA4"/>
    <w:rsid w:val="00270129"/>
    <w:rsid w:val="0027036B"/>
    <w:rsid w:val="00272215"/>
    <w:rsid w:val="00272809"/>
    <w:rsid w:val="00273064"/>
    <w:rsid w:val="002735D6"/>
    <w:rsid w:val="00273C98"/>
    <w:rsid w:val="00275AB6"/>
    <w:rsid w:val="00275D5F"/>
    <w:rsid w:val="00276233"/>
    <w:rsid w:val="0027765E"/>
    <w:rsid w:val="00277894"/>
    <w:rsid w:val="00277E5E"/>
    <w:rsid w:val="00281870"/>
    <w:rsid w:val="00281AAB"/>
    <w:rsid w:val="00281DE4"/>
    <w:rsid w:val="00282418"/>
    <w:rsid w:val="00282AB8"/>
    <w:rsid w:val="00284366"/>
    <w:rsid w:val="0028454B"/>
    <w:rsid w:val="002848CD"/>
    <w:rsid w:val="00284C08"/>
    <w:rsid w:val="00284D60"/>
    <w:rsid w:val="002857EF"/>
    <w:rsid w:val="00286440"/>
    <w:rsid w:val="002866C0"/>
    <w:rsid w:val="0028795E"/>
    <w:rsid w:val="00287DBD"/>
    <w:rsid w:val="00290424"/>
    <w:rsid w:val="00290E2D"/>
    <w:rsid w:val="002914D3"/>
    <w:rsid w:val="002918B9"/>
    <w:rsid w:val="00291F20"/>
    <w:rsid w:val="002932B3"/>
    <w:rsid w:val="00293FB6"/>
    <w:rsid w:val="00294D27"/>
    <w:rsid w:val="0029537B"/>
    <w:rsid w:val="00295A3C"/>
    <w:rsid w:val="0029731B"/>
    <w:rsid w:val="002976BD"/>
    <w:rsid w:val="00297B08"/>
    <w:rsid w:val="00297C13"/>
    <w:rsid w:val="00297D1C"/>
    <w:rsid w:val="002A01C6"/>
    <w:rsid w:val="002A08A6"/>
    <w:rsid w:val="002A0915"/>
    <w:rsid w:val="002A0FDC"/>
    <w:rsid w:val="002A1FE4"/>
    <w:rsid w:val="002A276D"/>
    <w:rsid w:val="002A3A82"/>
    <w:rsid w:val="002A4CD2"/>
    <w:rsid w:val="002A53A3"/>
    <w:rsid w:val="002A5859"/>
    <w:rsid w:val="002A6484"/>
    <w:rsid w:val="002A7899"/>
    <w:rsid w:val="002A79A6"/>
    <w:rsid w:val="002B0A2C"/>
    <w:rsid w:val="002B1520"/>
    <w:rsid w:val="002B15DD"/>
    <w:rsid w:val="002B1762"/>
    <w:rsid w:val="002B1892"/>
    <w:rsid w:val="002B2F25"/>
    <w:rsid w:val="002B302D"/>
    <w:rsid w:val="002B4079"/>
    <w:rsid w:val="002B50B8"/>
    <w:rsid w:val="002B5AAB"/>
    <w:rsid w:val="002B6225"/>
    <w:rsid w:val="002B63C6"/>
    <w:rsid w:val="002B7A26"/>
    <w:rsid w:val="002C07D9"/>
    <w:rsid w:val="002C0ECD"/>
    <w:rsid w:val="002C0FFF"/>
    <w:rsid w:val="002C13B9"/>
    <w:rsid w:val="002C14DA"/>
    <w:rsid w:val="002C1871"/>
    <w:rsid w:val="002C19B6"/>
    <w:rsid w:val="002C1B72"/>
    <w:rsid w:val="002C22CE"/>
    <w:rsid w:val="002C2786"/>
    <w:rsid w:val="002C2BDD"/>
    <w:rsid w:val="002C3041"/>
    <w:rsid w:val="002C3251"/>
    <w:rsid w:val="002C4B5D"/>
    <w:rsid w:val="002C4BDE"/>
    <w:rsid w:val="002C52D3"/>
    <w:rsid w:val="002C5476"/>
    <w:rsid w:val="002C5622"/>
    <w:rsid w:val="002C5814"/>
    <w:rsid w:val="002C5B14"/>
    <w:rsid w:val="002C5B79"/>
    <w:rsid w:val="002C5D6E"/>
    <w:rsid w:val="002C61C7"/>
    <w:rsid w:val="002C64B8"/>
    <w:rsid w:val="002D072D"/>
    <w:rsid w:val="002D0C33"/>
    <w:rsid w:val="002D17D8"/>
    <w:rsid w:val="002D22AE"/>
    <w:rsid w:val="002D2CC4"/>
    <w:rsid w:val="002D2F65"/>
    <w:rsid w:val="002D38A3"/>
    <w:rsid w:val="002D38D7"/>
    <w:rsid w:val="002D3E2B"/>
    <w:rsid w:val="002D5175"/>
    <w:rsid w:val="002D5DE6"/>
    <w:rsid w:val="002D6E21"/>
    <w:rsid w:val="002D6EF9"/>
    <w:rsid w:val="002D6FE6"/>
    <w:rsid w:val="002D737B"/>
    <w:rsid w:val="002D7917"/>
    <w:rsid w:val="002D7972"/>
    <w:rsid w:val="002D7AF6"/>
    <w:rsid w:val="002D7CDB"/>
    <w:rsid w:val="002D7D19"/>
    <w:rsid w:val="002E04AC"/>
    <w:rsid w:val="002E167E"/>
    <w:rsid w:val="002E1B33"/>
    <w:rsid w:val="002E2D04"/>
    <w:rsid w:val="002E3033"/>
    <w:rsid w:val="002E5457"/>
    <w:rsid w:val="002E5526"/>
    <w:rsid w:val="002E79FC"/>
    <w:rsid w:val="002E7BE2"/>
    <w:rsid w:val="002F0CB5"/>
    <w:rsid w:val="002F1DBB"/>
    <w:rsid w:val="002F1DE0"/>
    <w:rsid w:val="002F2845"/>
    <w:rsid w:val="002F2E30"/>
    <w:rsid w:val="002F3949"/>
    <w:rsid w:val="002F4692"/>
    <w:rsid w:val="002F4FEE"/>
    <w:rsid w:val="002F56E5"/>
    <w:rsid w:val="002F612B"/>
    <w:rsid w:val="002F7624"/>
    <w:rsid w:val="002F7A8E"/>
    <w:rsid w:val="0030083C"/>
    <w:rsid w:val="00300BA1"/>
    <w:rsid w:val="00301342"/>
    <w:rsid w:val="00301B70"/>
    <w:rsid w:val="00302463"/>
    <w:rsid w:val="0030255B"/>
    <w:rsid w:val="00302F9A"/>
    <w:rsid w:val="00303121"/>
    <w:rsid w:val="00303186"/>
    <w:rsid w:val="0030477D"/>
    <w:rsid w:val="00306CFF"/>
    <w:rsid w:val="00306D24"/>
    <w:rsid w:val="00306FDE"/>
    <w:rsid w:val="00307FE7"/>
    <w:rsid w:val="003107EC"/>
    <w:rsid w:val="00310986"/>
    <w:rsid w:val="00310DE8"/>
    <w:rsid w:val="00310E76"/>
    <w:rsid w:val="00310F9B"/>
    <w:rsid w:val="00311130"/>
    <w:rsid w:val="00313D1A"/>
    <w:rsid w:val="00313DCD"/>
    <w:rsid w:val="0031458B"/>
    <w:rsid w:val="00316969"/>
    <w:rsid w:val="00317DB4"/>
    <w:rsid w:val="00320161"/>
    <w:rsid w:val="00321310"/>
    <w:rsid w:val="0032171F"/>
    <w:rsid w:val="00322AA7"/>
    <w:rsid w:val="00322FF2"/>
    <w:rsid w:val="0032319D"/>
    <w:rsid w:val="00323769"/>
    <w:rsid w:val="0032386F"/>
    <w:rsid w:val="00323DA5"/>
    <w:rsid w:val="00323E0F"/>
    <w:rsid w:val="00323E7B"/>
    <w:rsid w:val="00324A8C"/>
    <w:rsid w:val="00324BDB"/>
    <w:rsid w:val="003252A7"/>
    <w:rsid w:val="0032533A"/>
    <w:rsid w:val="00325969"/>
    <w:rsid w:val="00325D49"/>
    <w:rsid w:val="00325F29"/>
    <w:rsid w:val="00326D7D"/>
    <w:rsid w:val="003278FF"/>
    <w:rsid w:val="00330F59"/>
    <w:rsid w:val="00331413"/>
    <w:rsid w:val="003327D7"/>
    <w:rsid w:val="003334E5"/>
    <w:rsid w:val="00333777"/>
    <w:rsid w:val="00333C94"/>
    <w:rsid w:val="00333CB7"/>
    <w:rsid w:val="00333EE1"/>
    <w:rsid w:val="00334415"/>
    <w:rsid w:val="003349DF"/>
    <w:rsid w:val="00335A39"/>
    <w:rsid w:val="00336704"/>
    <w:rsid w:val="00337352"/>
    <w:rsid w:val="00337797"/>
    <w:rsid w:val="00340780"/>
    <w:rsid w:val="00342426"/>
    <w:rsid w:val="003433CF"/>
    <w:rsid w:val="00343510"/>
    <w:rsid w:val="0034392B"/>
    <w:rsid w:val="00343E3A"/>
    <w:rsid w:val="00344240"/>
    <w:rsid w:val="003444C7"/>
    <w:rsid w:val="0034474D"/>
    <w:rsid w:val="00345E25"/>
    <w:rsid w:val="00346FA9"/>
    <w:rsid w:val="00346FBA"/>
    <w:rsid w:val="00346FFB"/>
    <w:rsid w:val="00347684"/>
    <w:rsid w:val="003505F6"/>
    <w:rsid w:val="00350650"/>
    <w:rsid w:val="00350B41"/>
    <w:rsid w:val="0035185D"/>
    <w:rsid w:val="003518F3"/>
    <w:rsid w:val="00351C0D"/>
    <w:rsid w:val="00351DA7"/>
    <w:rsid w:val="00351DCE"/>
    <w:rsid w:val="00351E2E"/>
    <w:rsid w:val="00352372"/>
    <w:rsid w:val="00352BC7"/>
    <w:rsid w:val="00353658"/>
    <w:rsid w:val="0035404C"/>
    <w:rsid w:val="003541D8"/>
    <w:rsid w:val="003546B9"/>
    <w:rsid w:val="00354808"/>
    <w:rsid w:val="00354E4C"/>
    <w:rsid w:val="00355379"/>
    <w:rsid w:val="0035593D"/>
    <w:rsid w:val="00355AD1"/>
    <w:rsid w:val="00355E21"/>
    <w:rsid w:val="003561E1"/>
    <w:rsid w:val="00356BD3"/>
    <w:rsid w:val="003572F0"/>
    <w:rsid w:val="003573E8"/>
    <w:rsid w:val="00360AF4"/>
    <w:rsid w:val="0036107E"/>
    <w:rsid w:val="00361126"/>
    <w:rsid w:val="0036125A"/>
    <w:rsid w:val="00361B9A"/>
    <w:rsid w:val="00361C9C"/>
    <w:rsid w:val="00362268"/>
    <w:rsid w:val="0036335D"/>
    <w:rsid w:val="003634D4"/>
    <w:rsid w:val="00363549"/>
    <w:rsid w:val="00363600"/>
    <w:rsid w:val="003636D6"/>
    <w:rsid w:val="00365423"/>
    <w:rsid w:val="003655A0"/>
    <w:rsid w:val="00366DBF"/>
    <w:rsid w:val="00367BD1"/>
    <w:rsid w:val="00370730"/>
    <w:rsid w:val="0037245E"/>
    <w:rsid w:val="00372FD8"/>
    <w:rsid w:val="00374680"/>
    <w:rsid w:val="00374E30"/>
    <w:rsid w:val="003758C3"/>
    <w:rsid w:val="00376754"/>
    <w:rsid w:val="003768CC"/>
    <w:rsid w:val="00376C70"/>
    <w:rsid w:val="00377A04"/>
    <w:rsid w:val="00380069"/>
    <w:rsid w:val="0038023A"/>
    <w:rsid w:val="00381160"/>
    <w:rsid w:val="0038165E"/>
    <w:rsid w:val="00381D43"/>
    <w:rsid w:val="0038274B"/>
    <w:rsid w:val="0038312D"/>
    <w:rsid w:val="003845C7"/>
    <w:rsid w:val="00385D13"/>
    <w:rsid w:val="00386852"/>
    <w:rsid w:val="00386D95"/>
    <w:rsid w:val="0038730F"/>
    <w:rsid w:val="00387740"/>
    <w:rsid w:val="0038775D"/>
    <w:rsid w:val="00387CD9"/>
    <w:rsid w:val="003906D8"/>
    <w:rsid w:val="00390B38"/>
    <w:rsid w:val="00390CF9"/>
    <w:rsid w:val="00390D41"/>
    <w:rsid w:val="00391AFC"/>
    <w:rsid w:val="00391E99"/>
    <w:rsid w:val="003920FF"/>
    <w:rsid w:val="0039266A"/>
    <w:rsid w:val="003933A6"/>
    <w:rsid w:val="00393CD4"/>
    <w:rsid w:val="00393E2C"/>
    <w:rsid w:val="00393E8D"/>
    <w:rsid w:val="00395CB6"/>
    <w:rsid w:val="003963F6"/>
    <w:rsid w:val="00396514"/>
    <w:rsid w:val="0039691D"/>
    <w:rsid w:val="003974A8"/>
    <w:rsid w:val="0039769C"/>
    <w:rsid w:val="003A0BCF"/>
    <w:rsid w:val="003A1658"/>
    <w:rsid w:val="003A18A2"/>
    <w:rsid w:val="003A1B3C"/>
    <w:rsid w:val="003A1CD4"/>
    <w:rsid w:val="003A1EF3"/>
    <w:rsid w:val="003A262F"/>
    <w:rsid w:val="003A2DBF"/>
    <w:rsid w:val="003A2EFC"/>
    <w:rsid w:val="003A34C5"/>
    <w:rsid w:val="003A3D7F"/>
    <w:rsid w:val="003A3DFB"/>
    <w:rsid w:val="003A40C7"/>
    <w:rsid w:val="003A4638"/>
    <w:rsid w:val="003A48E7"/>
    <w:rsid w:val="003A4C9F"/>
    <w:rsid w:val="003A4F29"/>
    <w:rsid w:val="003A502C"/>
    <w:rsid w:val="003A5566"/>
    <w:rsid w:val="003A7CE6"/>
    <w:rsid w:val="003B0754"/>
    <w:rsid w:val="003B18A4"/>
    <w:rsid w:val="003B314B"/>
    <w:rsid w:val="003B32E5"/>
    <w:rsid w:val="003B3673"/>
    <w:rsid w:val="003B3FBA"/>
    <w:rsid w:val="003B487E"/>
    <w:rsid w:val="003B48C2"/>
    <w:rsid w:val="003B5100"/>
    <w:rsid w:val="003B51FB"/>
    <w:rsid w:val="003B5D24"/>
    <w:rsid w:val="003B5D61"/>
    <w:rsid w:val="003B60CA"/>
    <w:rsid w:val="003B7306"/>
    <w:rsid w:val="003B7452"/>
    <w:rsid w:val="003B7533"/>
    <w:rsid w:val="003B76C3"/>
    <w:rsid w:val="003B7AC5"/>
    <w:rsid w:val="003B7D07"/>
    <w:rsid w:val="003C00AC"/>
    <w:rsid w:val="003C08BA"/>
    <w:rsid w:val="003C0FB5"/>
    <w:rsid w:val="003C0FD3"/>
    <w:rsid w:val="003C17BC"/>
    <w:rsid w:val="003C1905"/>
    <w:rsid w:val="003C1AE5"/>
    <w:rsid w:val="003C1C43"/>
    <w:rsid w:val="003C2545"/>
    <w:rsid w:val="003C27B8"/>
    <w:rsid w:val="003C3CB8"/>
    <w:rsid w:val="003C44CB"/>
    <w:rsid w:val="003C4F84"/>
    <w:rsid w:val="003C5342"/>
    <w:rsid w:val="003C5A56"/>
    <w:rsid w:val="003C5ABF"/>
    <w:rsid w:val="003C672E"/>
    <w:rsid w:val="003C7CCA"/>
    <w:rsid w:val="003C7F7D"/>
    <w:rsid w:val="003D021C"/>
    <w:rsid w:val="003D1902"/>
    <w:rsid w:val="003D1CF0"/>
    <w:rsid w:val="003D3275"/>
    <w:rsid w:val="003D32AE"/>
    <w:rsid w:val="003D4922"/>
    <w:rsid w:val="003D4EA2"/>
    <w:rsid w:val="003D5510"/>
    <w:rsid w:val="003D5C49"/>
    <w:rsid w:val="003D5E7D"/>
    <w:rsid w:val="003D68FD"/>
    <w:rsid w:val="003D6C53"/>
    <w:rsid w:val="003E0521"/>
    <w:rsid w:val="003E132B"/>
    <w:rsid w:val="003E162F"/>
    <w:rsid w:val="003E26B8"/>
    <w:rsid w:val="003E2F67"/>
    <w:rsid w:val="003E36D7"/>
    <w:rsid w:val="003E3A70"/>
    <w:rsid w:val="003E3FD9"/>
    <w:rsid w:val="003E48EF"/>
    <w:rsid w:val="003E5757"/>
    <w:rsid w:val="003E59D1"/>
    <w:rsid w:val="003E64C1"/>
    <w:rsid w:val="003E65F9"/>
    <w:rsid w:val="003E6C3D"/>
    <w:rsid w:val="003E7265"/>
    <w:rsid w:val="003E7E32"/>
    <w:rsid w:val="003F00D0"/>
    <w:rsid w:val="003F02AF"/>
    <w:rsid w:val="003F0C6D"/>
    <w:rsid w:val="003F125E"/>
    <w:rsid w:val="003F156D"/>
    <w:rsid w:val="003F1F86"/>
    <w:rsid w:val="003F2CF6"/>
    <w:rsid w:val="003F3649"/>
    <w:rsid w:val="003F39D2"/>
    <w:rsid w:val="003F3ACB"/>
    <w:rsid w:val="003F3FD5"/>
    <w:rsid w:val="003F51D2"/>
    <w:rsid w:val="003F5A22"/>
    <w:rsid w:val="003F5BEF"/>
    <w:rsid w:val="003F5EE7"/>
    <w:rsid w:val="003F60BF"/>
    <w:rsid w:val="003F6E59"/>
    <w:rsid w:val="003F7F18"/>
    <w:rsid w:val="003F7F36"/>
    <w:rsid w:val="00401451"/>
    <w:rsid w:val="00401637"/>
    <w:rsid w:val="00402116"/>
    <w:rsid w:val="004022EA"/>
    <w:rsid w:val="00402806"/>
    <w:rsid w:val="00402873"/>
    <w:rsid w:val="004030DA"/>
    <w:rsid w:val="00403446"/>
    <w:rsid w:val="00404057"/>
    <w:rsid w:val="00404CB9"/>
    <w:rsid w:val="00404DA2"/>
    <w:rsid w:val="004050AC"/>
    <w:rsid w:val="00405A01"/>
    <w:rsid w:val="0040650E"/>
    <w:rsid w:val="00406A87"/>
    <w:rsid w:val="00406D39"/>
    <w:rsid w:val="00407762"/>
    <w:rsid w:val="00407F79"/>
    <w:rsid w:val="00410377"/>
    <w:rsid w:val="004103C4"/>
    <w:rsid w:val="00410D76"/>
    <w:rsid w:val="004114B6"/>
    <w:rsid w:val="004115A1"/>
    <w:rsid w:val="00411C25"/>
    <w:rsid w:val="00411CBE"/>
    <w:rsid w:val="00412380"/>
    <w:rsid w:val="00412961"/>
    <w:rsid w:val="00412C13"/>
    <w:rsid w:val="004139EB"/>
    <w:rsid w:val="00413BD7"/>
    <w:rsid w:val="00414305"/>
    <w:rsid w:val="0041443A"/>
    <w:rsid w:val="004146D5"/>
    <w:rsid w:val="0041486F"/>
    <w:rsid w:val="00415125"/>
    <w:rsid w:val="004157D4"/>
    <w:rsid w:val="00415AFE"/>
    <w:rsid w:val="00415BEB"/>
    <w:rsid w:val="004160DC"/>
    <w:rsid w:val="004164F8"/>
    <w:rsid w:val="00416971"/>
    <w:rsid w:val="00416B81"/>
    <w:rsid w:val="00416E0A"/>
    <w:rsid w:val="0041741E"/>
    <w:rsid w:val="0041791E"/>
    <w:rsid w:val="00417B76"/>
    <w:rsid w:val="00421306"/>
    <w:rsid w:val="004223F9"/>
    <w:rsid w:val="00422654"/>
    <w:rsid w:val="00422F63"/>
    <w:rsid w:val="00423A17"/>
    <w:rsid w:val="00423E1A"/>
    <w:rsid w:val="004244DF"/>
    <w:rsid w:val="00425331"/>
    <w:rsid w:val="00425BDD"/>
    <w:rsid w:val="00425CF6"/>
    <w:rsid w:val="0042608B"/>
    <w:rsid w:val="00426597"/>
    <w:rsid w:val="00426959"/>
    <w:rsid w:val="00426CCC"/>
    <w:rsid w:val="00427588"/>
    <w:rsid w:val="004277B1"/>
    <w:rsid w:val="004279BD"/>
    <w:rsid w:val="00427C35"/>
    <w:rsid w:val="00427CA2"/>
    <w:rsid w:val="00427F96"/>
    <w:rsid w:val="00430992"/>
    <w:rsid w:val="004309BB"/>
    <w:rsid w:val="00430BBA"/>
    <w:rsid w:val="004311C2"/>
    <w:rsid w:val="00431374"/>
    <w:rsid w:val="00432347"/>
    <w:rsid w:val="00433C56"/>
    <w:rsid w:val="00433D8C"/>
    <w:rsid w:val="00433FE4"/>
    <w:rsid w:val="004340EF"/>
    <w:rsid w:val="004341DA"/>
    <w:rsid w:val="004354CA"/>
    <w:rsid w:val="004356AC"/>
    <w:rsid w:val="004369B5"/>
    <w:rsid w:val="00437500"/>
    <w:rsid w:val="004376E3"/>
    <w:rsid w:val="004405AF"/>
    <w:rsid w:val="00440649"/>
    <w:rsid w:val="00440FF8"/>
    <w:rsid w:val="004418DC"/>
    <w:rsid w:val="00442241"/>
    <w:rsid w:val="00442BFC"/>
    <w:rsid w:val="00447CC0"/>
    <w:rsid w:val="00447EF5"/>
    <w:rsid w:val="00451866"/>
    <w:rsid w:val="00451917"/>
    <w:rsid w:val="00453180"/>
    <w:rsid w:val="0045339A"/>
    <w:rsid w:val="0045342D"/>
    <w:rsid w:val="004551A8"/>
    <w:rsid w:val="00455506"/>
    <w:rsid w:val="0045557C"/>
    <w:rsid w:val="004560BF"/>
    <w:rsid w:val="0045694E"/>
    <w:rsid w:val="00456998"/>
    <w:rsid w:val="00456E5C"/>
    <w:rsid w:val="00456F6E"/>
    <w:rsid w:val="0045714B"/>
    <w:rsid w:val="00457784"/>
    <w:rsid w:val="00457E7F"/>
    <w:rsid w:val="00460305"/>
    <w:rsid w:val="004605B3"/>
    <w:rsid w:val="0046060C"/>
    <w:rsid w:val="00460ED8"/>
    <w:rsid w:val="0046140C"/>
    <w:rsid w:val="00461462"/>
    <w:rsid w:val="00461D3D"/>
    <w:rsid w:val="004621ED"/>
    <w:rsid w:val="004623C8"/>
    <w:rsid w:val="00462B2E"/>
    <w:rsid w:val="00462B93"/>
    <w:rsid w:val="00463756"/>
    <w:rsid w:val="004638EB"/>
    <w:rsid w:val="00463BF5"/>
    <w:rsid w:val="0046401A"/>
    <w:rsid w:val="00464A9B"/>
    <w:rsid w:val="004658ED"/>
    <w:rsid w:val="0046590E"/>
    <w:rsid w:val="00465C68"/>
    <w:rsid w:val="00466B07"/>
    <w:rsid w:val="00467BC7"/>
    <w:rsid w:val="00470060"/>
    <w:rsid w:val="004705EE"/>
    <w:rsid w:val="004709D5"/>
    <w:rsid w:val="00471B09"/>
    <w:rsid w:val="00471FEA"/>
    <w:rsid w:val="00472341"/>
    <w:rsid w:val="004730A6"/>
    <w:rsid w:val="0047370F"/>
    <w:rsid w:val="00474F2A"/>
    <w:rsid w:val="0047544E"/>
    <w:rsid w:val="004755EC"/>
    <w:rsid w:val="0047561F"/>
    <w:rsid w:val="00476C70"/>
    <w:rsid w:val="004811C0"/>
    <w:rsid w:val="0048150C"/>
    <w:rsid w:val="00481AA3"/>
    <w:rsid w:val="0048228D"/>
    <w:rsid w:val="004829F8"/>
    <w:rsid w:val="00483B31"/>
    <w:rsid w:val="00485E2F"/>
    <w:rsid w:val="00486201"/>
    <w:rsid w:val="004904AE"/>
    <w:rsid w:val="00490CE4"/>
    <w:rsid w:val="004929D4"/>
    <w:rsid w:val="00492E13"/>
    <w:rsid w:val="00493841"/>
    <w:rsid w:val="00493F12"/>
    <w:rsid w:val="00494750"/>
    <w:rsid w:val="0049583A"/>
    <w:rsid w:val="00496653"/>
    <w:rsid w:val="00496D8B"/>
    <w:rsid w:val="00497081"/>
    <w:rsid w:val="004970F2"/>
    <w:rsid w:val="00497C59"/>
    <w:rsid w:val="00497CCC"/>
    <w:rsid w:val="004A006F"/>
    <w:rsid w:val="004A0B34"/>
    <w:rsid w:val="004A3552"/>
    <w:rsid w:val="004A522D"/>
    <w:rsid w:val="004A5692"/>
    <w:rsid w:val="004A6033"/>
    <w:rsid w:val="004A6096"/>
    <w:rsid w:val="004A7299"/>
    <w:rsid w:val="004A7420"/>
    <w:rsid w:val="004A76C4"/>
    <w:rsid w:val="004A78C4"/>
    <w:rsid w:val="004B05A2"/>
    <w:rsid w:val="004B0893"/>
    <w:rsid w:val="004B23DB"/>
    <w:rsid w:val="004B27AA"/>
    <w:rsid w:val="004B3482"/>
    <w:rsid w:val="004B3BEB"/>
    <w:rsid w:val="004B3C6D"/>
    <w:rsid w:val="004B3E22"/>
    <w:rsid w:val="004B3F58"/>
    <w:rsid w:val="004B41DF"/>
    <w:rsid w:val="004B4AF1"/>
    <w:rsid w:val="004B5FA0"/>
    <w:rsid w:val="004B6738"/>
    <w:rsid w:val="004B68C5"/>
    <w:rsid w:val="004B7FFD"/>
    <w:rsid w:val="004C0033"/>
    <w:rsid w:val="004C0455"/>
    <w:rsid w:val="004C130B"/>
    <w:rsid w:val="004C1463"/>
    <w:rsid w:val="004C1F26"/>
    <w:rsid w:val="004C2784"/>
    <w:rsid w:val="004C27DA"/>
    <w:rsid w:val="004C2B91"/>
    <w:rsid w:val="004C30F1"/>
    <w:rsid w:val="004C3164"/>
    <w:rsid w:val="004C42C1"/>
    <w:rsid w:val="004C61ED"/>
    <w:rsid w:val="004C64BE"/>
    <w:rsid w:val="004C6E1C"/>
    <w:rsid w:val="004C7551"/>
    <w:rsid w:val="004D09BA"/>
    <w:rsid w:val="004D1336"/>
    <w:rsid w:val="004D1513"/>
    <w:rsid w:val="004D1952"/>
    <w:rsid w:val="004D1CCF"/>
    <w:rsid w:val="004D1D3F"/>
    <w:rsid w:val="004D26D7"/>
    <w:rsid w:val="004D28B6"/>
    <w:rsid w:val="004D29F3"/>
    <w:rsid w:val="004D3128"/>
    <w:rsid w:val="004D336D"/>
    <w:rsid w:val="004D3421"/>
    <w:rsid w:val="004D44F2"/>
    <w:rsid w:val="004D6DC3"/>
    <w:rsid w:val="004D794F"/>
    <w:rsid w:val="004E01A2"/>
    <w:rsid w:val="004E024C"/>
    <w:rsid w:val="004E107D"/>
    <w:rsid w:val="004E12BD"/>
    <w:rsid w:val="004E1A7D"/>
    <w:rsid w:val="004E292C"/>
    <w:rsid w:val="004E2BA8"/>
    <w:rsid w:val="004E333D"/>
    <w:rsid w:val="004E34C3"/>
    <w:rsid w:val="004E379F"/>
    <w:rsid w:val="004E392C"/>
    <w:rsid w:val="004E4742"/>
    <w:rsid w:val="004E483E"/>
    <w:rsid w:val="004E525F"/>
    <w:rsid w:val="004E680E"/>
    <w:rsid w:val="004E6F4A"/>
    <w:rsid w:val="004F0172"/>
    <w:rsid w:val="004F04CE"/>
    <w:rsid w:val="004F0AF6"/>
    <w:rsid w:val="004F1A95"/>
    <w:rsid w:val="004F2CC2"/>
    <w:rsid w:val="004F3C30"/>
    <w:rsid w:val="004F4672"/>
    <w:rsid w:val="004F4A16"/>
    <w:rsid w:val="004F502C"/>
    <w:rsid w:val="004F5882"/>
    <w:rsid w:val="004F5AA5"/>
    <w:rsid w:val="004F6185"/>
    <w:rsid w:val="004F62C5"/>
    <w:rsid w:val="004F7592"/>
    <w:rsid w:val="004F7E6C"/>
    <w:rsid w:val="00501699"/>
    <w:rsid w:val="00501B19"/>
    <w:rsid w:val="00501C84"/>
    <w:rsid w:val="00501ECC"/>
    <w:rsid w:val="0050226B"/>
    <w:rsid w:val="005024C4"/>
    <w:rsid w:val="00502B80"/>
    <w:rsid w:val="00502BCD"/>
    <w:rsid w:val="00502BE3"/>
    <w:rsid w:val="00503109"/>
    <w:rsid w:val="00504778"/>
    <w:rsid w:val="005049A3"/>
    <w:rsid w:val="00505097"/>
    <w:rsid w:val="005055FD"/>
    <w:rsid w:val="00505646"/>
    <w:rsid w:val="005057A6"/>
    <w:rsid w:val="0050724A"/>
    <w:rsid w:val="00510DE0"/>
    <w:rsid w:val="00510DEB"/>
    <w:rsid w:val="00510E5C"/>
    <w:rsid w:val="005112BD"/>
    <w:rsid w:val="00512A73"/>
    <w:rsid w:val="00512EB7"/>
    <w:rsid w:val="005130D8"/>
    <w:rsid w:val="0051329A"/>
    <w:rsid w:val="00513951"/>
    <w:rsid w:val="00514EFE"/>
    <w:rsid w:val="005154F1"/>
    <w:rsid w:val="00515501"/>
    <w:rsid w:val="00515DE0"/>
    <w:rsid w:val="00515E93"/>
    <w:rsid w:val="00516D7A"/>
    <w:rsid w:val="00517F28"/>
    <w:rsid w:val="00520237"/>
    <w:rsid w:val="0052048F"/>
    <w:rsid w:val="00521000"/>
    <w:rsid w:val="005210B5"/>
    <w:rsid w:val="00521741"/>
    <w:rsid w:val="00521DDE"/>
    <w:rsid w:val="005222E3"/>
    <w:rsid w:val="00522AF8"/>
    <w:rsid w:val="005231E5"/>
    <w:rsid w:val="005239BC"/>
    <w:rsid w:val="00525996"/>
    <w:rsid w:val="00525AF3"/>
    <w:rsid w:val="00525B83"/>
    <w:rsid w:val="0052635A"/>
    <w:rsid w:val="00526D09"/>
    <w:rsid w:val="00527106"/>
    <w:rsid w:val="00527EEF"/>
    <w:rsid w:val="005305B6"/>
    <w:rsid w:val="00531878"/>
    <w:rsid w:val="00531CCB"/>
    <w:rsid w:val="00532300"/>
    <w:rsid w:val="0053279D"/>
    <w:rsid w:val="0053315E"/>
    <w:rsid w:val="00533A03"/>
    <w:rsid w:val="005355A1"/>
    <w:rsid w:val="00535ED6"/>
    <w:rsid w:val="00536122"/>
    <w:rsid w:val="005368C5"/>
    <w:rsid w:val="00537720"/>
    <w:rsid w:val="005379C8"/>
    <w:rsid w:val="0054084C"/>
    <w:rsid w:val="00540F01"/>
    <w:rsid w:val="00540FD1"/>
    <w:rsid w:val="0054193A"/>
    <w:rsid w:val="00542345"/>
    <w:rsid w:val="00542500"/>
    <w:rsid w:val="005428F6"/>
    <w:rsid w:val="00542E8F"/>
    <w:rsid w:val="00543D39"/>
    <w:rsid w:val="00543FD2"/>
    <w:rsid w:val="005443D6"/>
    <w:rsid w:val="00544728"/>
    <w:rsid w:val="0054480F"/>
    <w:rsid w:val="00545B2C"/>
    <w:rsid w:val="00546568"/>
    <w:rsid w:val="00546672"/>
    <w:rsid w:val="00547A15"/>
    <w:rsid w:val="00547CB3"/>
    <w:rsid w:val="0055156F"/>
    <w:rsid w:val="005517D8"/>
    <w:rsid w:val="00551A6D"/>
    <w:rsid w:val="00551B61"/>
    <w:rsid w:val="00552B55"/>
    <w:rsid w:val="00552E21"/>
    <w:rsid w:val="005533CE"/>
    <w:rsid w:val="005550BD"/>
    <w:rsid w:val="00555324"/>
    <w:rsid w:val="005562E7"/>
    <w:rsid w:val="00557AAC"/>
    <w:rsid w:val="00557C84"/>
    <w:rsid w:val="00557EDB"/>
    <w:rsid w:val="005600C6"/>
    <w:rsid w:val="0056177F"/>
    <w:rsid w:val="00561D6C"/>
    <w:rsid w:val="00562F8D"/>
    <w:rsid w:val="005641D9"/>
    <w:rsid w:val="00564495"/>
    <w:rsid w:val="005644D0"/>
    <w:rsid w:val="00564A52"/>
    <w:rsid w:val="005654DD"/>
    <w:rsid w:val="00565B6D"/>
    <w:rsid w:val="00565BBD"/>
    <w:rsid w:val="00565CEF"/>
    <w:rsid w:val="00566333"/>
    <w:rsid w:val="00566707"/>
    <w:rsid w:val="00566D09"/>
    <w:rsid w:val="0056754D"/>
    <w:rsid w:val="0056788E"/>
    <w:rsid w:val="00567D53"/>
    <w:rsid w:val="00567DD9"/>
    <w:rsid w:val="005706F1"/>
    <w:rsid w:val="005708F0"/>
    <w:rsid w:val="00570911"/>
    <w:rsid w:val="005710E3"/>
    <w:rsid w:val="00571230"/>
    <w:rsid w:val="005717DC"/>
    <w:rsid w:val="00571A85"/>
    <w:rsid w:val="00571EFD"/>
    <w:rsid w:val="0057243C"/>
    <w:rsid w:val="005726FC"/>
    <w:rsid w:val="00572739"/>
    <w:rsid w:val="005728A8"/>
    <w:rsid w:val="00572ACE"/>
    <w:rsid w:val="00572F67"/>
    <w:rsid w:val="0057368D"/>
    <w:rsid w:val="00573BD3"/>
    <w:rsid w:val="00573E49"/>
    <w:rsid w:val="00574B4D"/>
    <w:rsid w:val="00575763"/>
    <w:rsid w:val="005759DE"/>
    <w:rsid w:val="00576114"/>
    <w:rsid w:val="00576436"/>
    <w:rsid w:val="00577A3F"/>
    <w:rsid w:val="00577C39"/>
    <w:rsid w:val="00580E46"/>
    <w:rsid w:val="005824A7"/>
    <w:rsid w:val="00582965"/>
    <w:rsid w:val="005832F1"/>
    <w:rsid w:val="00583B52"/>
    <w:rsid w:val="00583F6A"/>
    <w:rsid w:val="0058431C"/>
    <w:rsid w:val="0058472D"/>
    <w:rsid w:val="00584A58"/>
    <w:rsid w:val="00584F11"/>
    <w:rsid w:val="00585281"/>
    <w:rsid w:val="0058536C"/>
    <w:rsid w:val="00585466"/>
    <w:rsid w:val="00585B21"/>
    <w:rsid w:val="00585D0A"/>
    <w:rsid w:val="00586D24"/>
    <w:rsid w:val="0058703D"/>
    <w:rsid w:val="00587451"/>
    <w:rsid w:val="0058799E"/>
    <w:rsid w:val="00587EBC"/>
    <w:rsid w:val="005901EF"/>
    <w:rsid w:val="0059037D"/>
    <w:rsid w:val="00591B75"/>
    <w:rsid w:val="00592EB1"/>
    <w:rsid w:val="00593285"/>
    <w:rsid w:val="005938B2"/>
    <w:rsid w:val="00593E22"/>
    <w:rsid w:val="00593EE8"/>
    <w:rsid w:val="00593EF3"/>
    <w:rsid w:val="00594155"/>
    <w:rsid w:val="00594F79"/>
    <w:rsid w:val="005951AF"/>
    <w:rsid w:val="005959E3"/>
    <w:rsid w:val="00596231"/>
    <w:rsid w:val="005963B3"/>
    <w:rsid w:val="00596595"/>
    <w:rsid w:val="00596850"/>
    <w:rsid w:val="00596878"/>
    <w:rsid w:val="00596D13"/>
    <w:rsid w:val="005972F0"/>
    <w:rsid w:val="00597B60"/>
    <w:rsid w:val="00597F90"/>
    <w:rsid w:val="005A0BC6"/>
    <w:rsid w:val="005A0D1C"/>
    <w:rsid w:val="005A2B75"/>
    <w:rsid w:val="005A3446"/>
    <w:rsid w:val="005A3751"/>
    <w:rsid w:val="005A5566"/>
    <w:rsid w:val="005A60F5"/>
    <w:rsid w:val="005A737D"/>
    <w:rsid w:val="005A7D4F"/>
    <w:rsid w:val="005A7DCA"/>
    <w:rsid w:val="005B019C"/>
    <w:rsid w:val="005B153F"/>
    <w:rsid w:val="005B1FA0"/>
    <w:rsid w:val="005B2AD4"/>
    <w:rsid w:val="005B2E0D"/>
    <w:rsid w:val="005B414D"/>
    <w:rsid w:val="005B4C36"/>
    <w:rsid w:val="005B54C3"/>
    <w:rsid w:val="005B68D5"/>
    <w:rsid w:val="005C0660"/>
    <w:rsid w:val="005C08D8"/>
    <w:rsid w:val="005C098D"/>
    <w:rsid w:val="005C0E28"/>
    <w:rsid w:val="005C1B33"/>
    <w:rsid w:val="005C1CA6"/>
    <w:rsid w:val="005C200F"/>
    <w:rsid w:val="005C3F98"/>
    <w:rsid w:val="005C4220"/>
    <w:rsid w:val="005C4C06"/>
    <w:rsid w:val="005C55B9"/>
    <w:rsid w:val="005C568E"/>
    <w:rsid w:val="005C6F19"/>
    <w:rsid w:val="005C729E"/>
    <w:rsid w:val="005C75D4"/>
    <w:rsid w:val="005C78E0"/>
    <w:rsid w:val="005C7B6A"/>
    <w:rsid w:val="005C7C15"/>
    <w:rsid w:val="005D0039"/>
    <w:rsid w:val="005D006C"/>
    <w:rsid w:val="005D011F"/>
    <w:rsid w:val="005D0947"/>
    <w:rsid w:val="005D1011"/>
    <w:rsid w:val="005D10F4"/>
    <w:rsid w:val="005D17AE"/>
    <w:rsid w:val="005D1D2D"/>
    <w:rsid w:val="005D1D67"/>
    <w:rsid w:val="005D37CA"/>
    <w:rsid w:val="005D3AFE"/>
    <w:rsid w:val="005D436C"/>
    <w:rsid w:val="005D4AA5"/>
    <w:rsid w:val="005D4F39"/>
    <w:rsid w:val="005D57E4"/>
    <w:rsid w:val="005D5A58"/>
    <w:rsid w:val="005D5EB5"/>
    <w:rsid w:val="005D7713"/>
    <w:rsid w:val="005D7FE8"/>
    <w:rsid w:val="005E067E"/>
    <w:rsid w:val="005E08FE"/>
    <w:rsid w:val="005E099C"/>
    <w:rsid w:val="005E0A96"/>
    <w:rsid w:val="005E0C90"/>
    <w:rsid w:val="005E0E55"/>
    <w:rsid w:val="005E0FCA"/>
    <w:rsid w:val="005E13F7"/>
    <w:rsid w:val="005E168A"/>
    <w:rsid w:val="005E18BF"/>
    <w:rsid w:val="005E1FE0"/>
    <w:rsid w:val="005E274D"/>
    <w:rsid w:val="005E3798"/>
    <w:rsid w:val="005E39DB"/>
    <w:rsid w:val="005E3E35"/>
    <w:rsid w:val="005E40A8"/>
    <w:rsid w:val="005E4580"/>
    <w:rsid w:val="005E495F"/>
    <w:rsid w:val="005E4E9D"/>
    <w:rsid w:val="005E680A"/>
    <w:rsid w:val="005E6F9A"/>
    <w:rsid w:val="005E70A4"/>
    <w:rsid w:val="005E70E6"/>
    <w:rsid w:val="005E747E"/>
    <w:rsid w:val="005E75D2"/>
    <w:rsid w:val="005E7C51"/>
    <w:rsid w:val="005E7DB9"/>
    <w:rsid w:val="005F00B7"/>
    <w:rsid w:val="005F00DF"/>
    <w:rsid w:val="005F0B8D"/>
    <w:rsid w:val="005F11D2"/>
    <w:rsid w:val="005F148C"/>
    <w:rsid w:val="005F19D2"/>
    <w:rsid w:val="005F1B25"/>
    <w:rsid w:val="005F1D80"/>
    <w:rsid w:val="005F2218"/>
    <w:rsid w:val="005F355F"/>
    <w:rsid w:val="005F3855"/>
    <w:rsid w:val="005F3BE6"/>
    <w:rsid w:val="005F5ABF"/>
    <w:rsid w:val="005F5E1E"/>
    <w:rsid w:val="005F6195"/>
    <w:rsid w:val="005F6863"/>
    <w:rsid w:val="005F6ED4"/>
    <w:rsid w:val="005F7046"/>
    <w:rsid w:val="005F7B28"/>
    <w:rsid w:val="006004AE"/>
    <w:rsid w:val="00600D89"/>
    <w:rsid w:val="00601787"/>
    <w:rsid w:val="00602196"/>
    <w:rsid w:val="0060222B"/>
    <w:rsid w:val="00602DC7"/>
    <w:rsid w:val="00604841"/>
    <w:rsid w:val="00606C44"/>
    <w:rsid w:val="0060704F"/>
    <w:rsid w:val="00607B0D"/>
    <w:rsid w:val="00607D88"/>
    <w:rsid w:val="00610061"/>
    <w:rsid w:val="00610548"/>
    <w:rsid w:val="00610708"/>
    <w:rsid w:val="00610977"/>
    <w:rsid w:val="00610F18"/>
    <w:rsid w:val="00611E1E"/>
    <w:rsid w:val="0061229A"/>
    <w:rsid w:val="006125DD"/>
    <w:rsid w:val="00612D80"/>
    <w:rsid w:val="00613AE5"/>
    <w:rsid w:val="00613E52"/>
    <w:rsid w:val="00613EA6"/>
    <w:rsid w:val="006141D1"/>
    <w:rsid w:val="00614719"/>
    <w:rsid w:val="00615A61"/>
    <w:rsid w:val="00615CC8"/>
    <w:rsid w:val="00617912"/>
    <w:rsid w:val="00617C5B"/>
    <w:rsid w:val="00617DAB"/>
    <w:rsid w:val="00620470"/>
    <w:rsid w:val="0062113A"/>
    <w:rsid w:val="00621F95"/>
    <w:rsid w:val="0062274E"/>
    <w:rsid w:val="00622C67"/>
    <w:rsid w:val="00623019"/>
    <w:rsid w:val="0062409C"/>
    <w:rsid w:val="006247B7"/>
    <w:rsid w:val="006270CE"/>
    <w:rsid w:val="00627502"/>
    <w:rsid w:val="00627564"/>
    <w:rsid w:val="00627997"/>
    <w:rsid w:val="00627AEE"/>
    <w:rsid w:val="00630217"/>
    <w:rsid w:val="0063088A"/>
    <w:rsid w:val="00630A5C"/>
    <w:rsid w:val="0063128E"/>
    <w:rsid w:val="00631B58"/>
    <w:rsid w:val="00631D72"/>
    <w:rsid w:val="00632BB4"/>
    <w:rsid w:val="00632DF6"/>
    <w:rsid w:val="006333FD"/>
    <w:rsid w:val="00633ACE"/>
    <w:rsid w:val="00634C8D"/>
    <w:rsid w:val="00634F93"/>
    <w:rsid w:val="006357B7"/>
    <w:rsid w:val="006359C7"/>
    <w:rsid w:val="00636219"/>
    <w:rsid w:val="006369F1"/>
    <w:rsid w:val="00636F64"/>
    <w:rsid w:val="00637218"/>
    <w:rsid w:val="006372CD"/>
    <w:rsid w:val="006373EB"/>
    <w:rsid w:val="00637A5D"/>
    <w:rsid w:val="0064006E"/>
    <w:rsid w:val="0064055F"/>
    <w:rsid w:val="00640EF4"/>
    <w:rsid w:val="006411F5"/>
    <w:rsid w:val="00641CD6"/>
    <w:rsid w:val="00641F72"/>
    <w:rsid w:val="00642264"/>
    <w:rsid w:val="00643062"/>
    <w:rsid w:val="006431A4"/>
    <w:rsid w:val="00643517"/>
    <w:rsid w:val="00643641"/>
    <w:rsid w:val="00643A29"/>
    <w:rsid w:val="00644488"/>
    <w:rsid w:val="00644A3A"/>
    <w:rsid w:val="006452ED"/>
    <w:rsid w:val="0064732A"/>
    <w:rsid w:val="00647715"/>
    <w:rsid w:val="006510DD"/>
    <w:rsid w:val="00651357"/>
    <w:rsid w:val="006514A8"/>
    <w:rsid w:val="00651A49"/>
    <w:rsid w:val="006521B4"/>
    <w:rsid w:val="00652689"/>
    <w:rsid w:val="00652A0E"/>
    <w:rsid w:val="00652B29"/>
    <w:rsid w:val="0065355D"/>
    <w:rsid w:val="006535D0"/>
    <w:rsid w:val="00653AB2"/>
    <w:rsid w:val="00654764"/>
    <w:rsid w:val="00654C04"/>
    <w:rsid w:val="006550F7"/>
    <w:rsid w:val="00655C24"/>
    <w:rsid w:val="0065658A"/>
    <w:rsid w:val="00656FE8"/>
    <w:rsid w:val="006577EB"/>
    <w:rsid w:val="006600A0"/>
    <w:rsid w:val="0066086C"/>
    <w:rsid w:val="00661353"/>
    <w:rsid w:val="006624AE"/>
    <w:rsid w:val="00662785"/>
    <w:rsid w:val="006627A0"/>
    <w:rsid w:val="00663673"/>
    <w:rsid w:val="00663771"/>
    <w:rsid w:val="006641A1"/>
    <w:rsid w:val="0066438B"/>
    <w:rsid w:val="00664BE7"/>
    <w:rsid w:val="00664EE9"/>
    <w:rsid w:val="006650B6"/>
    <w:rsid w:val="00666170"/>
    <w:rsid w:val="006662F6"/>
    <w:rsid w:val="00666568"/>
    <w:rsid w:val="00666B23"/>
    <w:rsid w:val="00666DB0"/>
    <w:rsid w:val="006701E5"/>
    <w:rsid w:val="006702D3"/>
    <w:rsid w:val="006706F8"/>
    <w:rsid w:val="006707FB"/>
    <w:rsid w:val="00670C28"/>
    <w:rsid w:val="0067127A"/>
    <w:rsid w:val="006723FA"/>
    <w:rsid w:val="006727D4"/>
    <w:rsid w:val="00672CA9"/>
    <w:rsid w:val="00675515"/>
    <w:rsid w:val="006762F5"/>
    <w:rsid w:val="00676511"/>
    <w:rsid w:val="00680555"/>
    <w:rsid w:val="00680A23"/>
    <w:rsid w:val="00680D7B"/>
    <w:rsid w:val="00681441"/>
    <w:rsid w:val="00681CDC"/>
    <w:rsid w:val="00681F26"/>
    <w:rsid w:val="00682046"/>
    <w:rsid w:val="006821B8"/>
    <w:rsid w:val="00682437"/>
    <w:rsid w:val="006838C5"/>
    <w:rsid w:val="00685508"/>
    <w:rsid w:val="0068586A"/>
    <w:rsid w:val="006866D2"/>
    <w:rsid w:val="006869F9"/>
    <w:rsid w:val="00687BE9"/>
    <w:rsid w:val="00690ABA"/>
    <w:rsid w:val="00691642"/>
    <w:rsid w:val="00693079"/>
    <w:rsid w:val="00693714"/>
    <w:rsid w:val="0069378A"/>
    <w:rsid w:val="00693942"/>
    <w:rsid w:val="0069410A"/>
    <w:rsid w:val="00695E55"/>
    <w:rsid w:val="0069602C"/>
    <w:rsid w:val="006967DB"/>
    <w:rsid w:val="00696CFA"/>
    <w:rsid w:val="006A0275"/>
    <w:rsid w:val="006A0792"/>
    <w:rsid w:val="006A090F"/>
    <w:rsid w:val="006A0CA6"/>
    <w:rsid w:val="006A10E4"/>
    <w:rsid w:val="006A1246"/>
    <w:rsid w:val="006A19A8"/>
    <w:rsid w:val="006A27AA"/>
    <w:rsid w:val="006A3022"/>
    <w:rsid w:val="006A40D8"/>
    <w:rsid w:val="006A4480"/>
    <w:rsid w:val="006A4ED3"/>
    <w:rsid w:val="006A5052"/>
    <w:rsid w:val="006A52BE"/>
    <w:rsid w:val="006A56D8"/>
    <w:rsid w:val="006A5C00"/>
    <w:rsid w:val="006A5C6D"/>
    <w:rsid w:val="006A5DDA"/>
    <w:rsid w:val="006A62E7"/>
    <w:rsid w:val="006A6604"/>
    <w:rsid w:val="006A69AD"/>
    <w:rsid w:val="006A6C1B"/>
    <w:rsid w:val="006A790D"/>
    <w:rsid w:val="006A7BAD"/>
    <w:rsid w:val="006B23B7"/>
    <w:rsid w:val="006B27FB"/>
    <w:rsid w:val="006B4A7C"/>
    <w:rsid w:val="006B4BFB"/>
    <w:rsid w:val="006B4D2D"/>
    <w:rsid w:val="006B517A"/>
    <w:rsid w:val="006B541C"/>
    <w:rsid w:val="006B54B3"/>
    <w:rsid w:val="006B62B4"/>
    <w:rsid w:val="006B6A75"/>
    <w:rsid w:val="006B6EEF"/>
    <w:rsid w:val="006C068C"/>
    <w:rsid w:val="006C0B4D"/>
    <w:rsid w:val="006C1DCE"/>
    <w:rsid w:val="006C1E05"/>
    <w:rsid w:val="006C229A"/>
    <w:rsid w:val="006C237F"/>
    <w:rsid w:val="006C2686"/>
    <w:rsid w:val="006C2C8A"/>
    <w:rsid w:val="006C3246"/>
    <w:rsid w:val="006C39E0"/>
    <w:rsid w:val="006C3B43"/>
    <w:rsid w:val="006C41E5"/>
    <w:rsid w:val="006C6A0D"/>
    <w:rsid w:val="006C6EF9"/>
    <w:rsid w:val="006C71B3"/>
    <w:rsid w:val="006C7CE9"/>
    <w:rsid w:val="006D0692"/>
    <w:rsid w:val="006D0D9B"/>
    <w:rsid w:val="006D1CAD"/>
    <w:rsid w:val="006D212A"/>
    <w:rsid w:val="006D36A7"/>
    <w:rsid w:val="006D44EF"/>
    <w:rsid w:val="006D52B5"/>
    <w:rsid w:val="006D557B"/>
    <w:rsid w:val="006D6378"/>
    <w:rsid w:val="006E0057"/>
    <w:rsid w:val="006E0303"/>
    <w:rsid w:val="006E171E"/>
    <w:rsid w:val="006E2DA1"/>
    <w:rsid w:val="006E309F"/>
    <w:rsid w:val="006E3277"/>
    <w:rsid w:val="006E3900"/>
    <w:rsid w:val="006E391D"/>
    <w:rsid w:val="006E4C93"/>
    <w:rsid w:val="006E5CA3"/>
    <w:rsid w:val="006E5D34"/>
    <w:rsid w:val="006E61C4"/>
    <w:rsid w:val="006E6C1D"/>
    <w:rsid w:val="006E7103"/>
    <w:rsid w:val="006E7BCC"/>
    <w:rsid w:val="006E7D36"/>
    <w:rsid w:val="006E7EEE"/>
    <w:rsid w:val="006F06F6"/>
    <w:rsid w:val="006F07A1"/>
    <w:rsid w:val="006F0C8C"/>
    <w:rsid w:val="006F0FC2"/>
    <w:rsid w:val="006F1AFC"/>
    <w:rsid w:val="006F1E0D"/>
    <w:rsid w:val="006F211B"/>
    <w:rsid w:val="006F238F"/>
    <w:rsid w:val="006F2C36"/>
    <w:rsid w:val="006F2F10"/>
    <w:rsid w:val="006F526A"/>
    <w:rsid w:val="006F530D"/>
    <w:rsid w:val="006F6046"/>
    <w:rsid w:val="006F64A1"/>
    <w:rsid w:val="006F78A6"/>
    <w:rsid w:val="006F7AF9"/>
    <w:rsid w:val="006F7B9D"/>
    <w:rsid w:val="00700343"/>
    <w:rsid w:val="0070083B"/>
    <w:rsid w:val="00700CD5"/>
    <w:rsid w:val="00701E83"/>
    <w:rsid w:val="0070223B"/>
    <w:rsid w:val="007022DE"/>
    <w:rsid w:val="0070270F"/>
    <w:rsid w:val="00703081"/>
    <w:rsid w:val="007041FD"/>
    <w:rsid w:val="00705845"/>
    <w:rsid w:val="007058A2"/>
    <w:rsid w:val="00705DAD"/>
    <w:rsid w:val="00706D9E"/>
    <w:rsid w:val="007079CB"/>
    <w:rsid w:val="00707DF5"/>
    <w:rsid w:val="007101C0"/>
    <w:rsid w:val="007110B5"/>
    <w:rsid w:val="0071227A"/>
    <w:rsid w:val="00712D03"/>
    <w:rsid w:val="00713AD2"/>
    <w:rsid w:val="00713E0B"/>
    <w:rsid w:val="007152F5"/>
    <w:rsid w:val="00715B84"/>
    <w:rsid w:val="00716055"/>
    <w:rsid w:val="00716EC4"/>
    <w:rsid w:val="00716F19"/>
    <w:rsid w:val="00716FC3"/>
    <w:rsid w:val="00716FEF"/>
    <w:rsid w:val="00717672"/>
    <w:rsid w:val="00717835"/>
    <w:rsid w:val="00717CB5"/>
    <w:rsid w:val="007202EA"/>
    <w:rsid w:val="007203A2"/>
    <w:rsid w:val="0072043B"/>
    <w:rsid w:val="00720766"/>
    <w:rsid w:val="00721032"/>
    <w:rsid w:val="00721631"/>
    <w:rsid w:val="00721BB6"/>
    <w:rsid w:val="0072249A"/>
    <w:rsid w:val="007224A4"/>
    <w:rsid w:val="0072265E"/>
    <w:rsid w:val="00723487"/>
    <w:rsid w:val="00723EC5"/>
    <w:rsid w:val="00724F0A"/>
    <w:rsid w:val="007257D5"/>
    <w:rsid w:val="00726194"/>
    <w:rsid w:val="007264E4"/>
    <w:rsid w:val="00726DF8"/>
    <w:rsid w:val="007273EE"/>
    <w:rsid w:val="00727C90"/>
    <w:rsid w:val="00730B02"/>
    <w:rsid w:val="00730D06"/>
    <w:rsid w:val="00731546"/>
    <w:rsid w:val="007318E2"/>
    <w:rsid w:val="00732988"/>
    <w:rsid w:val="00733418"/>
    <w:rsid w:val="007334A6"/>
    <w:rsid w:val="0073403C"/>
    <w:rsid w:val="0073434B"/>
    <w:rsid w:val="00734CD3"/>
    <w:rsid w:val="00735EA0"/>
    <w:rsid w:val="00735F91"/>
    <w:rsid w:val="00737A2C"/>
    <w:rsid w:val="0074005D"/>
    <w:rsid w:val="00740CE7"/>
    <w:rsid w:val="007414D0"/>
    <w:rsid w:val="00741857"/>
    <w:rsid w:val="00742F46"/>
    <w:rsid w:val="00743AAA"/>
    <w:rsid w:val="00744CB1"/>
    <w:rsid w:val="0074532D"/>
    <w:rsid w:val="0074567A"/>
    <w:rsid w:val="007456F8"/>
    <w:rsid w:val="00745A33"/>
    <w:rsid w:val="00745B82"/>
    <w:rsid w:val="00746319"/>
    <w:rsid w:val="0074652B"/>
    <w:rsid w:val="00746686"/>
    <w:rsid w:val="00746D77"/>
    <w:rsid w:val="0074764C"/>
    <w:rsid w:val="007477DA"/>
    <w:rsid w:val="00747B29"/>
    <w:rsid w:val="00747CCD"/>
    <w:rsid w:val="00750286"/>
    <w:rsid w:val="007509C9"/>
    <w:rsid w:val="00750BF0"/>
    <w:rsid w:val="00750C68"/>
    <w:rsid w:val="00751790"/>
    <w:rsid w:val="00751ACD"/>
    <w:rsid w:val="007527E8"/>
    <w:rsid w:val="0075335A"/>
    <w:rsid w:val="00755700"/>
    <w:rsid w:val="0075652E"/>
    <w:rsid w:val="0075757B"/>
    <w:rsid w:val="00757627"/>
    <w:rsid w:val="00760A89"/>
    <w:rsid w:val="00760F9E"/>
    <w:rsid w:val="007612BB"/>
    <w:rsid w:val="00761918"/>
    <w:rsid w:val="00762A2C"/>
    <w:rsid w:val="00762DBB"/>
    <w:rsid w:val="00762FBF"/>
    <w:rsid w:val="00763933"/>
    <w:rsid w:val="00763962"/>
    <w:rsid w:val="00764563"/>
    <w:rsid w:val="007664A2"/>
    <w:rsid w:val="007669A2"/>
    <w:rsid w:val="007669F0"/>
    <w:rsid w:val="00766FA0"/>
    <w:rsid w:val="00767341"/>
    <w:rsid w:val="007677AC"/>
    <w:rsid w:val="00767C11"/>
    <w:rsid w:val="0077011C"/>
    <w:rsid w:val="007702C0"/>
    <w:rsid w:val="00770338"/>
    <w:rsid w:val="0077053B"/>
    <w:rsid w:val="00771158"/>
    <w:rsid w:val="007722A8"/>
    <w:rsid w:val="00772935"/>
    <w:rsid w:val="00772DCF"/>
    <w:rsid w:val="007750B0"/>
    <w:rsid w:val="00775C87"/>
    <w:rsid w:val="00776313"/>
    <w:rsid w:val="00776D1F"/>
    <w:rsid w:val="00776DF7"/>
    <w:rsid w:val="007802CF"/>
    <w:rsid w:val="00781199"/>
    <w:rsid w:val="00781304"/>
    <w:rsid w:val="00781BA6"/>
    <w:rsid w:val="00782B9B"/>
    <w:rsid w:val="00783C37"/>
    <w:rsid w:val="0078436D"/>
    <w:rsid w:val="00785015"/>
    <w:rsid w:val="00785480"/>
    <w:rsid w:val="0078646B"/>
    <w:rsid w:val="007866D0"/>
    <w:rsid w:val="007866E1"/>
    <w:rsid w:val="00786FEF"/>
    <w:rsid w:val="0078750E"/>
    <w:rsid w:val="0078767F"/>
    <w:rsid w:val="00787DA9"/>
    <w:rsid w:val="00787F85"/>
    <w:rsid w:val="0079039D"/>
    <w:rsid w:val="007906C7"/>
    <w:rsid w:val="00790B20"/>
    <w:rsid w:val="00790FBA"/>
    <w:rsid w:val="00791141"/>
    <w:rsid w:val="00791748"/>
    <w:rsid w:val="00791E7A"/>
    <w:rsid w:val="0079292B"/>
    <w:rsid w:val="00792AA4"/>
    <w:rsid w:val="007943E4"/>
    <w:rsid w:val="00794E7E"/>
    <w:rsid w:val="00794ECB"/>
    <w:rsid w:val="007963D3"/>
    <w:rsid w:val="007965BA"/>
    <w:rsid w:val="007966C8"/>
    <w:rsid w:val="007967E0"/>
    <w:rsid w:val="0079717D"/>
    <w:rsid w:val="007976D3"/>
    <w:rsid w:val="00797729"/>
    <w:rsid w:val="00797BC0"/>
    <w:rsid w:val="007A0545"/>
    <w:rsid w:val="007A0AE3"/>
    <w:rsid w:val="007A0F7E"/>
    <w:rsid w:val="007A150B"/>
    <w:rsid w:val="007A1F81"/>
    <w:rsid w:val="007A25D6"/>
    <w:rsid w:val="007A26A5"/>
    <w:rsid w:val="007A2EDE"/>
    <w:rsid w:val="007A3218"/>
    <w:rsid w:val="007A41D1"/>
    <w:rsid w:val="007A4A42"/>
    <w:rsid w:val="007A5627"/>
    <w:rsid w:val="007A59E0"/>
    <w:rsid w:val="007A659B"/>
    <w:rsid w:val="007A69C3"/>
    <w:rsid w:val="007A7768"/>
    <w:rsid w:val="007A7C4E"/>
    <w:rsid w:val="007B0121"/>
    <w:rsid w:val="007B0794"/>
    <w:rsid w:val="007B0A90"/>
    <w:rsid w:val="007B175A"/>
    <w:rsid w:val="007B3610"/>
    <w:rsid w:val="007B4098"/>
    <w:rsid w:val="007B4391"/>
    <w:rsid w:val="007B5370"/>
    <w:rsid w:val="007B56B9"/>
    <w:rsid w:val="007B5792"/>
    <w:rsid w:val="007B58E3"/>
    <w:rsid w:val="007B5E94"/>
    <w:rsid w:val="007B5F6D"/>
    <w:rsid w:val="007B603E"/>
    <w:rsid w:val="007C0C55"/>
    <w:rsid w:val="007C1C7B"/>
    <w:rsid w:val="007C243D"/>
    <w:rsid w:val="007C256E"/>
    <w:rsid w:val="007C27A2"/>
    <w:rsid w:val="007C2A02"/>
    <w:rsid w:val="007C32CB"/>
    <w:rsid w:val="007C3E4A"/>
    <w:rsid w:val="007C3EA6"/>
    <w:rsid w:val="007C3F8B"/>
    <w:rsid w:val="007C4213"/>
    <w:rsid w:val="007C4B23"/>
    <w:rsid w:val="007C4C49"/>
    <w:rsid w:val="007C52B3"/>
    <w:rsid w:val="007C5332"/>
    <w:rsid w:val="007C5509"/>
    <w:rsid w:val="007C5E40"/>
    <w:rsid w:val="007C663C"/>
    <w:rsid w:val="007C7387"/>
    <w:rsid w:val="007D007C"/>
    <w:rsid w:val="007D0303"/>
    <w:rsid w:val="007D0996"/>
    <w:rsid w:val="007D0ABC"/>
    <w:rsid w:val="007D13CD"/>
    <w:rsid w:val="007D13E9"/>
    <w:rsid w:val="007D162B"/>
    <w:rsid w:val="007D1B2C"/>
    <w:rsid w:val="007D275B"/>
    <w:rsid w:val="007D3FD9"/>
    <w:rsid w:val="007D5093"/>
    <w:rsid w:val="007D530E"/>
    <w:rsid w:val="007D54FA"/>
    <w:rsid w:val="007D57AE"/>
    <w:rsid w:val="007D5D88"/>
    <w:rsid w:val="007D66D3"/>
    <w:rsid w:val="007D75BC"/>
    <w:rsid w:val="007D76C9"/>
    <w:rsid w:val="007D76EF"/>
    <w:rsid w:val="007E0803"/>
    <w:rsid w:val="007E08BC"/>
    <w:rsid w:val="007E0AE9"/>
    <w:rsid w:val="007E0BBF"/>
    <w:rsid w:val="007E0E04"/>
    <w:rsid w:val="007E18B1"/>
    <w:rsid w:val="007E1CEB"/>
    <w:rsid w:val="007E24E5"/>
    <w:rsid w:val="007E26C9"/>
    <w:rsid w:val="007E2827"/>
    <w:rsid w:val="007E45A6"/>
    <w:rsid w:val="007E526A"/>
    <w:rsid w:val="007E5B43"/>
    <w:rsid w:val="007E5BBF"/>
    <w:rsid w:val="007E5D89"/>
    <w:rsid w:val="007E5E0D"/>
    <w:rsid w:val="007E5EEE"/>
    <w:rsid w:val="007E60D7"/>
    <w:rsid w:val="007E61AB"/>
    <w:rsid w:val="007E61F0"/>
    <w:rsid w:val="007E63B8"/>
    <w:rsid w:val="007E7CE4"/>
    <w:rsid w:val="007E7D15"/>
    <w:rsid w:val="007F02AE"/>
    <w:rsid w:val="007F04FF"/>
    <w:rsid w:val="007F066F"/>
    <w:rsid w:val="007F0859"/>
    <w:rsid w:val="007F1A84"/>
    <w:rsid w:val="007F29C3"/>
    <w:rsid w:val="007F2D13"/>
    <w:rsid w:val="007F32D0"/>
    <w:rsid w:val="007F337F"/>
    <w:rsid w:val="007F33E2"/>
    <w:rsid w:val="007F3CF0"/>
    <w:rsid w:val="007F3F04"/>
    <w:rsid w:val="007F4E78"/>
    <w:rsid w:val="007F50F2"/>
    <w:rsid w:val="007F5564"/>
    <w:rsid w:val="007F5C65"/>
    <w:rsid w:val="007F6DC4"/>
    <w:rsid w:val="007F7431"/>
    <w:rsid w:val="007F7FD0"/>
    <w:rsid w:val="00800782"/>
    <w:rsid w:val="00800C6A"/>
    <w:rsid w:val="00801996"/>
    <w:rsid w:val="00801DA8"/>
    <w:rsid w:val="00801E2A"/>
    <w:rsid w:val="00802AD7"/>
    <w:rsid w:val="00802BFE"/>
    <w:rsid w:val="00802DFE"/>
    <w:rsid w:val="00802F81"/>
    <w:rsid w:val="008031E7"/>
    <w:rsid w:val="00803BD4"/>
    <w:rsid w:val="00803D8C"/>
    <w:rsid w:val="00804256"/>
    <w:rsid w:val="00805FD4"/>
    <w:rsid w:val="008062CA"/>
    <w:rsid w:val="00806607"/>
    <w:rsid w:val="00806840"/>
    <w:rsid w:val="00806A4C"/>
    <w:rsid w:val="008079E9"/>
    <w:rsid w:val="008108F6"/>
    <w:rsid w:val="00811D20"/>
    <w:rsid w:val="00812C10"/>
    <w:rsid w:val="00813958"/>
    <w:rsid w:val="00813CB4"/>
    <w:rsid w:val="00814391"/>
    <w:rsid w:val="0081471D"/>
    <w:rsid w:val="00814A7F"/>
    <w:rsid w:val="00814CFF"/>
    <w:rsid w:val="00815E39"/>
    <w:rsid w:val="008164D5"/>
    <w:rsid w:val="00816544"/>
    <w:rsid w:val="008170B6"/>
    <w:rsid w:val="0082020B"/>
    <w:rsid w:val="00820682"/>
    <w:rsid w:val="00821337"/>
    <w:rsid w:val="0082150E"/>
    <w:rsid w:val="00822AEA"/>
    <w:rsid w:val="00823F1C"/>
    <w:rsid w:val="00824158"/>
    <w:rsid w:val="0082451A"/>
    <w:rsid w:val="00825E4D"/>
    <w:rsid w:val="00826009"/>
    <w:rsid w:val="008269D2"/>
    <w:rsid w:val="008273A9"/>
    <w:rsid w:val="00827A2F"/>
    <w:rsid w:val="00827D31"/>
    <w:rsid w:val="00827E6A"/>
    <w:rsid w:val="008311F8"/>
    <w:rsid w:val="00832146"/>
    <w:rsid w:val="00832476"/>
    <w:rsid w:val="0083406A"/>
    <w:rsid w:val="008343E1"/>
    <w:rsid w:val="00834DCC"/>
    <w:rsid w:val="00836A5E"/>
    <w:rsid w:val="00836B56"/>
    <w:rsid w:val="008406BE"/>
    <w:rsid w:val="00840CD2"/>
    <w:rsid w:val="00840F51"/>
    <w:rsid w:val="00843A7D"/>
    <w:rsid w:val="00843F1D"/>
    <w:rsid w:val="00843FFB"/>
    <w:rsid w:val="00844C59"/>
    <w:rsid w:val="00845044"/>
    <w:rsid w:val="00846E14"/>
    <w:rsid w:val="008473AA"/>
    <w:rsid w:val="008476B4"/>
    <w:rsid w:val="00847B36"/>
    <w:rsid w:val="0085060F"/>
    <w:rsid w:val="00850A2C"/>
    <w:rsid w:val="00850D11"/>
    <w:rsid w:val="00850E5F"/>
    <w:rsid w:val="0085129B"/>
    <w:rsid w:val="008515EC"/>
    <w:rsid w:val="0085277A"/>
    <w:rsid w:val="008533BF"/>
    <w:rsid w:val="008534EF"/>
    <w:rsid w:val="00853B16"/>
    <w:rsid w:val="008545A7"/>
    <w:rsid w:val="00855051"/>
    <w:rsid w:val="0085560E"/>
    <w:rsid w:val="00855853"/>
    <w:rsid w:val="00855F4B"/>
    <w:rsid w:val="00856084"/>
    <w:rsid w:val="00856DD0"/>
    <w:rsid w:val="00860D29"/>
    <w:rsid w:val="0086240B"/>
    <w:rsid w:val="0086247A"/>
    <w:rsid w:val="00863868"/>
    <w:rsid w:val="0086393E"/>
    <w:rsid w:val="008639B2"/>
    <w:rsid w:val="00863B9A"/>
    <w:rsid w:val="00863FE3"/>
    <w:rsid w:val="00864CD0"/>
    <w:rsid w:val="00867CE6"/>
    <w:rsid w:val="00867F74"/>
    <w:rsid w:val="00870555"/>
    <w:rsid w:val="008708C1"/>
    <w:rsid w:val="00870B0D"/>
    <w:rsid w:val="00871D34"/>
    <w:rsid w:val="00871EE4"/>
    <w:rsid w:val="00872144"/>
    <w:rsid w:val="0087214C"/>
    <w:rsid w:val="00872154"/>
    <w:rsid w:val="008726D8"/>
    <w:rsid w:val="00872700"/>
    <w:rsid w:val="0087291C"/>
    <w:rsid w:val="00872F6D"/>
    <w:rsid w:val="00873505"/>
    <w:rsid w:val="00874034"/>
    <w:rsid w:val="00874250"/>
    <w:rsid w:val="0087425B"/>
    <w:rsid w:val="00874905"/>
    <w:rsid w:val="00874DD6"/>
    <w:rsid w:val="008753CE"/>
    <w:rsid w:val="0087663B"/>
    <w:rsid w:val="00876961"/>
    <w:rsid w:val="00876B0F"/>
    <w:rsid w:val="008771D5"/>
    <w:rsid w:val="00880685"/>
    <w:rsid w:val="008806CD"/>
    <w:rsid w:val="00880790"/>
    <w:rsid w:val="008809E3"/>
    <w:rsid w:val="00881000"/>
    <w:rsid w:val="00881E17"/>
    <w:rsid w:val="00882070"/>
    <w:rsid w:val="008822E3"/>
    <w:rsid w:val="00882775"/>
    <w:rsid w:val="00882D8A"/>
    <w:rsid w:val="0088325A"/>
    <w:rsid w:val="008838AC"/>
    <w:rsid w:val="00885156"/>
    <w:rsid w:val="00885289"/>
    <w:rsid w:val="0088540B"/>
    <w:rsid w:val="00886213"/>
    <w:rsid w:val="008862EE"/>
    <w:rsid w:val="008868CD"/>
    <w:rsid w:val="008871FA"/>
    <w:rsid w:val="0089011F"/>
    <w:rsid w:val="008913A1"/>
    <w:rsid w:val="00891CDC"/>
    <w:rsid w:val="008920EA"/>
    <w:rsid w:val="008923AC"/>
    <w:rsid w:val="0089263C"/>
    <w:rsid w:val="00892DE2"/>
    <w:rsid w:val="00893AD7"/>
    <w:rsid w:val="00894ACA"/>
    <w:rsid w:val="00896A25"/>
    <w:rsid w:val="00897350"/>
    <w:rsid w:val="008975B8"/>
    <w:rsid w:val="00897859"/>
    <w:rsid w:val="00897D51"/>
    <w:rsid w:val="008A00D5"/>
    <w:rsid w:val="008A0299"/>
    <w:rsid w:val="008A0B44"/>
    <w:rsid w:val="008A0B5D"/>
    <w:rsid w:val="008A0CD7"/>
    <w:rsid w:val="008A1595"/>
    <w:rsid w:val="008A18CF"/>
    <w:rsid w:val="008A28C9"/>
    <w:rsid w:val="008A2ACA"/>
    <w:rsid w:val="008A4368"/>
    <w:rsid w:val="008A4455"/>
    <w:rsid w:val="008A5392"/>
    <w:rsid w:val="008A5CFA"/>
    <w:rsid w:val="008A605D"/>
    <w:rsid w:val="008B084B"/>
    <w:rsid w:val="008B0AB2"/>
    <w:rsid w:val="008B0DD5"/>
    <w:rsid w:val="008B0E6F"/>
    <w:rsid w:val="008B21F5"/>
    <w:rsid w:val="008B243B"/>
    <w:rsid w:val="008B28BE"/>
    <w:rsid w:val="008B2E8D"/>
    <w:rsid w:val="008B3747"/>
    <w:rsid w:val="008B3E0D"/>
    <w:rsid w:val="008B51A1"/>
    <w:rsid w:val="008B5AAF"/>
    <w:rsid w:val="008B634B"/>
    <w:rsid w:val="008B6AF0"/>
    <w:rsid w:val="008B6B91"/>
    <w:rsid w:val="008B6E8B"/>
    <w:rsid w:val="008B7098"/>
    <w:rsid w:val="008B78CE"/>
    <w:rsid w:val="008B79A2"/>
    <w:rsid w:val="008C0DBB"/>
    <w:rsid w:val="008C10DD"/>
    <w:rsid w:val="008C18AA"/>
    <w:rsid w:val="008C1EAA"/>
    <w:rsid w:val="008C30B5"/>
    <w:rsid w:val="008C31C8"/>
    <w:rsid w:val="008C3DCE"/>
    <w:rsid w:val="008C5408"/>
    <w:rsid w:val="008C60E6"/>
    <w:rsid w:val="008C6ABD"/>
    <w:rsid w:val="008C7573"/>
    <w:rsid w:val="008C795A"/>
    <w:rsid w:val="008C7F6A"/>
    <w:rsid w:val="008D098D"/>
    <w:rsid w:val="008D0C13"/>
    <w:rsid w:val="008D0DCA"/>
    <w:rsid w:val="008D0F89"/>
    <w:rsid w:val="008D12B5"/>
    <w:rsid w:val="008D1479"/>
    <w:rsid w:val="008D19ED"/>
    <w:rsid w:val="008D241E"/>
    <w:rsid w:val="008D2923"/>
    <w:rsid w:val="008D2DFA"/>
    <w:rsid w:val="008D2E37"/>
    <w:rsid w:val="008D312A"/>
    <w:rsid w:val="008D46C0"/>
    <w:rsid w:val="008D6012"/>
    <w:rsid w:val="008D6B77"/>
    <w:rsid w:val="008D7076"/>
    <w:rsid w:val="008D771D"/>
    <w:rsid w:val="008E0579"/>
    <w:rsid w:val="008E107E"/>
    <w:rsid w:val="008E13CE"/>
    <w:rsid w:val="008E1EA7"/>
    <w:rsid w:val="008E214E"/>
    <w:rsid w:val="008E2321"/>
    <w:rsid w:val="008E2B4D"/>
    <w:rsid w:val="008E403F"/>
    <w:rsid w:val="008E42EA"/>
    <w:rsid w:val="008E4CC3"/>
    <w:rsid w:val="008E5556"/>
    <w:rsid w:val="008E5768"/>
    <w:rsid w:val="008E5848"/>
    <w:rsid w:val="008E5CB2"/>
    <w:rsid w:val="008E60C7"/>
    <w:rsid w:val="008E61BD"/>
    <w:rsid w:val="008E6210"/>
    <w:rsid w:val="008E62A7"/>
    <w:rsid w:val="008E6744"/>
    <w:rsid w:val="008E738B"/>
    <w:rsid w:val="008E7494"/>
    <w:rsid w:val="008E75CA"/>
    <w:rsid w:val="008F0739"/>
    <w:rsid w:val="008F09CE"/>
    <w:rsid w:val="008F0B99"/>
    <w:rsid w:val="008F1490"/>
    <w:rsid w:val="008F1779"/>
    <w:rsid w:val="008F19C4"/>
    <w:rsid w:val="008F1A80"/>
    <w:rsid w:val="008F1A84"/>
    <w:rsid w:val="008F2623"/>
    <w:rsid w:val="008F270F"/>
    <w:rsid w:val="008F2DC5"/>
    <w:rsid w:val="008F2FC0"/>
    <w:rsid w:val="008F3159"/>
    <w:rsid w:val="008F3437"/>
    <w:rsid w:val="008F37EC"/>
    <w:rsid w:val="008F54AE"/>
    <w:rsid w:val="008F6220"/>
    <w:rsid w:val="008F656F"/>
    <w:rsid w:val="008F6723"/>
    <w:rsid w:val="008F70B5"/>
    <w:rsid w:val="0090127C"/>
    <w:rsid w:val="009012BA"/>
    <w:rsid w:val="009019E1"/>
    <w:rsid w:val="00901C9A"/>
    <w:rsid w:val="00902368"/>
    <w:rsid w:val="009024D7"/>
    <w:rsid w:val="00902510"/>
    <w:rsid w:val="00902C9B"/>
    <w:rsid w:val="009037BF"/>
    <w:rsid w:val="00903C80"/>
    <w:rsid w:val="0090417A"/>
    <w:rsid w:val="0090445A"/>
    <w:rsid w:val="0090553F"/>
    <w:rsid w:val="00905B3C"/>
    <w:rsid w:val="0090738A"/>
    <w:rsid w:val="00907EF1"/>
    <w:rsid w:val="009103F3"/>
    <w:rsid w:val="009111EB"/>
    <w:rsid w:val="00911686"/>
    <w:rsid w:val="00911EE7"/>
    <w:rsid w:val="00911F8D"/>
    <w:rsid w:val="00912C8C"/>
    <w:rsid w:val="00914439"/>
    <w:rsid w:val="00914481"/>
    <w:rsid w:val="009145EC"/>
    <w:rsid w:val="00914868"/>
    <w:rsid w:val="00915504"/>
    <w:rsid w:val="00916E36"/>
    <w:rsid w:val="0091753C"/>
    <w:rsid w:val="00917F89"/>
    <w:rsid w:val="00920357"/>
    <w:rsid w:val="00920B78"/>
    <w:rsid w:val="00920E6B"/>
    <w:rsid w:val="00920FE7"/>
    <w:rsid w:val="0092186B"/>
    <w:rsid w:val="00921B96"/>
    <w:rsid w:val="00921C27"/>
    <w:rsid w:val="009223DE"/>
    <w:rsid w:val="00922760"/>
    <w:rsid w:val="00922899"/>
    <w:rsid w:val="00922B6A"/>
    <w:rsid w:val="00922BEE"/>
    <w:rsid w:val="0092304B"/>
    <w:rsid w:val="0092356E"/>
    <w:rsid w:val="00923C09"/>
    <w:rsid w:val="009242DC"/>
    <w:rsid w:val="00924338"/>
    <w:rsid w:val="009245BF"/>
    <w:rsid w:val="009248B9"/>
    <w:rsid w:val="00924C34"/>
    <w:rsid w:val="00924F58"/>
    <w:rsid w:val="00926137"/>
    <w:rsid w:val="0092634C"/>
    <w:rsid w:val="00927180"/>
    <w:rsid w:val="0092752E"/>
    <w:rsid w:val="00927AEA"/>
    <w:rsid w:val="00927DCE"/>
    <w:rsid w:val="009316B9"/>
    <w:rsid w:val="00931718"/>
    <w:rsid w:val="009317F8"/>
    <w:rsid w:val="00931A8F"/>
    <w:rsid w:val="00932740"/>
    <w:rsid w:val="009333F9"/>
    <w:rsid w:val="00934B34"/>
    <w:rsid w:val="00934C97"/>
    <w:rsid w:val="009353D4"/>
    <w:rsid w:val="009365C8"/>
    <w:rsid w:val="00936682"/>
    <w:rsid w:val="0093690B"/>
    <w:rsid w:val="00941E4E"/>
    <w:rsid w:val="00941EA9"/>
    <w:rsid w:val="00941FD0"/>
    <w:rsid w:val="00942A01"/>
    <w:rsid w:val="00943FD6"/>
    <w:rsid w:val="009441AA"/>
    <w:rsid w:val="009447E9"/>
    <w:rsid w:val="009461DD"/>
    <w:rsid w:val="009466CE"/>
    <w:rsid w:val="009467D9"/>
    <w:rsid w:val="00946E1F"/>
    <w:rsid w:val="0094720D"/>
    <w:rsid w:val="00947B7B"/>
    <w:rsid w:val="00950092"/>
    <w:rsid w:val="009512AB"/>
    <w:rsid w:val="009514C8"/>
    <w:rsid w:val="0095196F"/>
    <w:rsid w:val="009525CD"/>
    <w:rsid w:val="00952ACE"/>
    <w:rsid w:val="00952B8E"/>
    <w:rsid w:val="00952C6C"/>
    <w:rsid w:val="00953153"/>
    <w:rsid w:val="00953DAA"/>
    <w:rsid w:val="00954449"/>
    <w:rsid w:val="00954C64"/>
    <w:rsid w:val="00954F95"/>
    <w:rsid w:val="009553E3"/>
    <w:rsid w:val="0095592D"/>
    <w:rsid w:val="00955A1D"/>
    <w:rsid w:val="00956A68"/>
    <w:rsid w:val="009570F4"/>
    <w:rsid w:val="009571B9"/>
    <w:rsid w:val="009578DF"/>
    <w:rsid w:val="00957904"/>
    <w:rsid w:val="009579E7"/>
    <w:rsid w:val="00960FBE"/>
    <w:rsid w:val="0096149E"/>
    <w:rsid w:val="009614F8"/>
    <w:rsid w:val="009617CD"/>
    <w:rsid w:val="009619C5"/>
    <w:rsid w:val="00962167"/>
    <w:rsid w:val="00962747"/>
    <w:rsid w:val="0096367E"/>
    <w:rsid w:val="009636A7"/>
    <w:rsid w:val="009636AE"/>
    <w:rsid w:val="00963854"/>
    <w:rsid w:val="0096393E"/>
    <w:rsid w:val="0096395A"/>
    <w:rsid w:val="00964841"/>
    <w:rsid w:val="009651E2"/>
    <w:rsid w:val="0096560C"/>
    <w:rsid w:val="00965D07"/>
    <w:rsid w:val="00966FCA"/>
    <w:rsid w:val="00967612"/>
    <w:rsid w:val="00967A16"/>
    <w:rsid w:val="00967C20"/>
    <w:rsid w:val="00967F12"/>
    <w:rsid w:val="0097011A"/>
    <w:rsid w:val="00970A26"/>
    <w:rsid w:val="0097160D"/>
    <w:rsid w:val="00972516"/>
    <w:rsid w:val="00972A2D"/>
    <w:rsid w:val="00972C27"/>
    <w:rsid w:val="00973E00"/>
    <w:rsid w:val="009745E7"/>
    <w:rsid w:val="009747BD"/>
    <w:rsid w:val="00974876"/>
    <w:rsid w:val="0097590D"/>
    <w:rsid w:val="009762BA"/>
    <w:rsid w:val="0098094D"/>
    <w:rsid w:val="00980C33"/>
    <w:rsid w:val="00980E22"/>
    <w:rsid w:val="00981001"/>
    <w:rsid w:val="009810FE"/>
    <w:rsid w:val="00981DBB"/>
    <w:rsid w:val="00981F23"/>
    <w:rsid w:val="00982057"/>
    <w:rsid w:val="00982851"/>
    <w:rsid w:val="00982F57"/>
    <w:rsid w:val="009836EE"/>
    <w:rsid w:val="00983D78"/>
    <w:rsid w:val="00983E03"/>
    <w:rsid w:val="00983E7B"/>
    <w:rsid w:val="00983EF4"/>
    <w:rsid w:val="009843CB"/>
    <w:rsid w:val="009845FE"/>
    <w:rsid w:val="00984669"/>
    <w:rsid w:val="00984888"/>
    <w:rsid w:val="00984AA0"/>
    <w:rsid w:val="00984E72"/>
    <w:rsid w:val="00985F47"/>
    <w:rsid w:val="009876F9"/>
    <w:rsid w:val="00987BB8"/>
    <w:rsid w:val="00987D7F"/>
    <w:rsid w:val="00991003"/>
    <w:rsid w:val="0099176C"/>
    <w:rsid w:val="00992FCC"/>
    <w:rsid w:val="00992FD6"/>
    <w:rsid w:val="00993BDF"/>
    <w:rsid w:val="00993C06"/>
    <w:rsid w:val="009957B2"/>
    <w:rsid w:val="00995D94"/>
    <w:rsid w:val="00996892"/>
    <w:rsid w:val="00996E03"/>
    <w:rsid w:val="009970E4"/>
    <w:rsid w:val="00997144"/>
    <w:rsid w:val="009971B5"/>
    <w:rsid w:val="009A0613"/>
    <w:rsid w:val="009A0DF4"/>
    <w:rsid w:val="009A1FAE"/>
    <w:rsid w:val="009A3236"/>
    <w:rsid w:val="009A330F"/>
    <w:rsid w:val="009A34E2"/>
    <w:rsid w:val="009A473D"/>
    <w:rsid w:val="009A4BAC"/>
    <w:rsid w:val="009A4D1C"/>
    <w:rsid w:val="009A5414"/>
    <w:rsid w:val="009A5521"/>
    <w:rsid w:val="009A58F9"/>
    <w:rsid w:val="009A62CB"/>
    <w:rsid w:val="009A6E05"/>
    <w:rsid w:val="009A7495"/>
    <w:rsid w:val="009A7AF2"/>
    <w:rsid w:val="009B0925"/>
    <w:rsid w:val="009B1012"/>
    <w:rsid w:val="009B20EF"/>
    <w:rsid w:val="009B26CB"/>
    <w:rsid w:val="009B2FA8"/>
    <w:rsid w:val="009B3178"/>
    <w:rsid w:val="009B374C"/>
    <w:rsid w:val="009B386B"/>
    <w:rsid w:val="009B4BA5"/>
    <w:rsid w:val="009B4D3A"/>
    <w:rsid w:val="009B4E0B"/>
    <w:rsid w:val="009B5B50"/>
    <w:rsid w:val="009B5C68"/>
    <w:rsid w:val="009B6625"/>
    <w:rsid w:val="009B6AE9"/>
    <w:rsid w:val="009B6D6F"/>
    <w:rsid w:val="009B7180"/>
    <w:rsid w:val="009B71D4"/>
    <w:rsid w:val="009B77B1"/>
    <w:rsid w:val="009B7AAD"/>
    <w:rsid w:val="009B7BE0"/>
    <w:rsid w:val="009B7DF0"/>
    <w:rsid w:val="009C0352"/>
    <w:rsid w:val="009C0C11"/>
    <w:rsid w:val="009C1556"/>
    <w:rsid w:val="009C1B07"/>
    <w:rsid w:val="009C31F8"/>
    <w:rsid w:val="009C38F7"/>
    <w:rsid w:val="009C3B18"/>
    <w:rsid w:val="009C3C9B"/>
    <w:rsid w:val="009C3CA4"/>
    <w:rsid w:val="009C48C9"/>
    <w:rsid w:val="009C49D7"/>
    <w:rsid w:val="009C4BED"/>
    <w:rsid w:val="009C5270"/>
    <w:rsid w:val="009C5865"/>
    <w:rsid w:val="009C5925"/>
    <w:rsid w:val="009C62BE"/>
    <w:rsid w:val="009C6CB3"/>
    <w:rsid w:val="009C6D8F"/>
    <w:rsid w:val="009C7AD1"/>
    <w:rsid w:val="009D0116"/>
    <w:rsid w:val="009D03E3"/>
    <w:rsid w:val="009D0970"/>
    <w:rsid w:val="009D14E8"/>
    <w:rsid w:val="009D2735"/>
    <w:rsid w:val="009D314F"/>
    <w:rsid w:val="009D3203"/>
    <w:rsid w:val="009D36D6"/>
    <w:rsid w:val="009D41F2"/>
    <w:rsid w:val="009D470D"/>
    <w:rsid w:val="009D4F59"/>
    <w:rsid w:val="009D5762"/>
    <w:rsid w:val="009D5B2A"/>
    <w:rsid w:val="009D5FD3"/>
    <w:rsid w:val="009D6599"/>
    <w:rsid w:val="009D65B1"/>
    <w:rsid w:val="009D78B0"/>
    <w:rsid w:val="009D7C48"/>
    <w:rsid w:val="009D7CAA"/>
    <w:rsid w:val="009D7DCF"/>
    <w:rsid w:val="009E0B94"/>
    <w:rsid w:val="009E0D15"/>
    <w:rsid w:val="009E12E4"/>
    <w:rsid w:val="009E28BE"/>
    <w:rsid w:val="009E2E4F"/>
    <w:rsid w:val="009E3F34"/>
    <w:rsid w:val="009E437F"/>
    <w:rsid w:val="009E47AB"/>
    <w:rsid w:val="009E5598"/>
    <w:rsid w:val="009E5805"/>
    <w:rsid w:val="009E5B43"/>
    <w:rsid w:val="009E7C9C"/>
    <w:rsid w:val="009E7CBB"/>
    <w:rsid w:val="009F0309"/>
    <w:rsid w:val="009F059A"/>
    <w:rsid w:val="009F13D1"/>
    <w:rsid w:val="009F1650"/>
    <w:rsid w:val="009F27CD"/>
    <w:rsid w:val="009F27E8"/>
    <w:rsid w:val="009F28E6"/>
    <w:rsid w:val="009F33FF"/>
    <w:rsid w:val="009F3C87"/>
    <w:rsid w:val="009F3EE2"/>
    <w:rsid w:val="009F48E4"/>
    <w:rsid w:val="009F4CBE"/>
    <w:rsid w:val="009F4CEF"/>
    <w:rsid w:val="009F575E"/>
    <w:rsid w:val="009F6096"/>
    <w:rsid w:val="009F6351"/>
    <w:rsid w:val="009F63FD"/>
    <w:rsid w:val="009F6848"/>
    <w:rsid w:val="009F7220"/>
    <w:rsid w:val="009F761E"/>
    <w:rsid w:val="009F76C2"/>
    <w:rsid w:val="009F7A0B"/>
    <w:rsid w:val="00A00D43"/>
    <w:rsid w:val="00A011C1"/>
    <w:rsid w:val="00A01EF1"/>
    <w:rsid w:val="00A02727"/>
    <w:rsid w:val="00A027CF"/>
    <w:rsid w:val="00A04555"/>
    <w:rsid w:val="00A04868"/>
    <w:rsid w:val="00A04A16"/>
    <w:rsid w:val="00A04D8D"/>
    <w:rsid w:val="00A05860"/>
    <w:rsid w:val="00A05BA5"/>
    <w:rsid w:val="00A05EB0"/>
    <w:rsid w:val="00A05F9B"/>
    <w:rsid w:val="00A06763"/>
    <w:rsid w:val="00A07E5E"/>
    <w:rsid w:val="00A07FE9"/>
    <w:rsid w:val="00A10679"/>
    <w:rsid w:val="00A10903"/>
    <w:rsid w:val="00A1093E"/>
    <w:rsid w:val="00A10BDC"/>
    <w:rsid w:val="00A1146C"/>
    <w:rsid w:val="00A1172A"/>
    <w:rsid w:val="00A12238"/>
    <w:rsid w:val="00A1228C"/>
    <w:rsid w:val="00A124B1"/>
    <w:rsid w:val="00A149DE"/>
    <w:rsid w:val="00A14C46"/>
    <w:rsid w:val="00A1502F"/>
    <w:rsid w:val="00A167CE"/>
    <w:rsid w:val="00A169AF"/>
    <w:rsid w:val="00A179AF"/>
    <w:rsid w:val="00A17F89"/>
    <w:rsid w:val="00A21D98"/>
    <w:rsid w:val="00A2352D"/>
    <w:rsid w:val="00A239E5"/>
    <w:rsid w:val="00A23AA7"/>
    <w:rsid w:val="00A24106"/>
    <w:rsid w:val="00A2476E"/>
    <w:rsid w:val="00A24857"/>
    <w:rsid w:val="00A2496C"/>
    <w:rsid w:val="00A250C4"/>
    <w:rsid w:val="00A25C28"/>
    <w:rsid w:val="00A25FA8"/>
    <w:rsid w:val="00A26E55"/>
    <w:rsid w:val="00A273E7"/>
    <w:rsid w:val="00A3003C"/>
    <w:rsid w:val="00A30123"/>
    <w:rsid w:val="00A30528"/>
    <w:rsid w:val="00A30F7F"/>
    <w:rsid w:val="00A31749"/>
    <w:rsid w:val="00A31A98"/>
    <w:rsid w:val="00A3432D"/>
    <w:rsid w:val="00A34721"/>
    <w:rsid w:val="00A34980"/>
    <w:rsid w:val="00A35114"/>
    <w:rsid w:val="00A351C7"/>
    <w:rsid w:val="00A35FB5"/>
    <w:rsid w:val="00A37315"/>
    <w:rsid w:val="00A40010"/>
    <w:rsid w:val="00A40281"/>
    <w:rsid w:val="00A403BA"/>
    <w:rsid w:val="00A40B45"/>
    <w:rsid w:val="00A41A12"/>
    <w:rsid w:val="00A423F9"/>
    <w:rsid w:val="00A43693"/>
    <w:rsid w:val="00A44068"/>
    <w:rsid w:val="00A45775"/>
    <w:rsid w:val="00A45A80"/>
    <w:rsid w:val="00A45F5E"/>
    <w:rsid w:val="00A45F99"/>
    <w:rsid w:val="00A4616B"/>
    <w:rsid w:val="00A472B2"/>
    <w:rsid w:val="00A47853"/>
    <w:rsid w:val="00A50374"/>
    <w:rsid w:val="00A506F1"/>
    <w:rsid w:val="00A50C25"/>
    <w:rsid w:val="00A5155D"/>
    <w:rsid w:val="00A52325"/>
    <w:rsid w:val="00A5259D"/>
    <w:rsid w:val="00A525A9"/>
    <w:rsid w:val="00A52764"/>
    <w:rsid w:val="00A52903"/>
    <w:rsid w:val="00A52DC5"/>
    <w:rsid w:val="00A54000"/>
    <w:rsid w:val="00A551A8"/>
    <w:rsid w:val="00A5520D"/>
    <w:rsid w:val="00A55719"/>
    <w:rsid w:val="00A55B6B"/>
    <w:rsid w:val="00A567AF"/>
    <w:rsid w:val="00A56CDD"/>
    <w:rsid w:val="00A57213"/>
    <w:rsid w:val="00A575E4"/>
    <w:rsid w:val="00A57A7C"/>
    <w:rsid w:val="00A57B70"/>
    <w:rsid w:val="00A57EEB"/>
    <w:rsid w:val="00A60159"/>
    <w:rsid w:val="00A61AF5"/>
    <w:rsid w:val="00A6270A"/>
    <w:rsid w:val="00A639DC"/>
    <w:rsid w:val="00A64CE4"/>
    <w:rsid w:val="00A64D2A"/>
    <w:rsid w:val="00A65DEC"/>
    <w:rsid w:val="00A7032A"/>
    <w:rsid w:val="00A70728"/>
    <w:rsid w:val="00A70E8F"/>
    <w:rsid w:val="00A71923"/>
    <w:rsid w:val="00A71BDD"/>
    <w:rsid w:val="00A72119"/>
    <w:rsid w:val="00A72314"/>
    <w:rsid w:val="00A72DC0"/>
    <w:rsid w:val="00A736F2"/>
    <w:rsid w:val="00A750F8"/>
    <w:rsid w:val="00A7614F"/>
    <w:rsid w:val="00A7645B"/>
    <w:rsid w:val="00A770F7"/>
    <w:rsid w:val="00A77803"/>
    <w:rsid w:val="00A77A88"/>
    <w:rsid w:val="00A77BD3"/>
    <w:rsid w:val="00A800DB"/>
    <w:rsid w:val="00A8027C"/>
    <w:rsid w:val="00A80605"/>
    <w:rsid w:val="00A80CC6"/>
    <w:rsid w:val="00A80E1E"/>
    <w:rsid w:val="00A816BE"/>
    <w:rsid w:val="00A824AF"/>
    <w:rsid w:val="00A85202"/>
    <w:rsid w:val="00A85DE4"/>
    <w:rsid w:val="00A86B57"/>
    <w:rsid w:val="00A86E81"/>
    <w:rsid w:val="00A87649"/>
    <w:rsid w:val="00A8772E"/>
    <w:rsid w:val="00A87807"/>
    <w:rsid w:val="00A87CB1"/>
    <w:rsid w:val="00A90D30"/>
    <w:rsid w:val="00A91420"/>
    <w:rsid w:val="00A91D66"/>
    <w:rsid w:val="00A91FD2"/>
    <w:rsid w:val="00A92088"/>
    <w:rsid w:val="00A9283C"/>
    <w:rsid w:val="00A92C2D"/>
    <w:rsid w:val="00A92F37"/>
    <w:rsid w:val="00A934B6"/>
    <w:rsid w:val="00A935D8"/>
    <w:rsid w:val="00A944C6"/>
    <w:rsid w:val="00A94744"/>
    <w:rsid w:val="00A9477A"/>
    <w:rsid w:val="00A94D5E"/>
    <w:rsid w:val="00A96713"/>
    <w:rsid w:val="00A96C0D"/>
    <w:rsid w:val="00A97F1E"/>
    <w:rsid w:val="00AA0024"/>
    <w:rsid w:val="00AA03BB"/>
    <w:rsid w:val="00AA0E8C"/>
    <w:rsid w:val="00AA1398"/>
    <w:rsid w:val="00AA1CD5"/>
    <w:rsid w:val="00AA465A"/>
    <w:rsid w:val="00AA4930"/>
    <w:rsid w:val="00AA4E48"/>
    <w:rsid w:val="00AA5505"/>
    <w:rsid w:val="00AA5573"/>
    <w:rsid w:val="00AA55AA"/>
    <w:rsid w:val="00AA5C36"/>
    <w:rsid w:val="00AA5FC3"/>
    <w:rsid w:val="00AA6AA9"/>
    <w:rsid w:val="00AA6DD3"/>
    <w:rsid w:val="00AA7528"/>
    <w:rsid w:val="00AB0013"/>
    <w:rsid w:val="00AB12EE"/>
    <w:rsid w:val="00AB18BF"/>
    <w:rsid w:val="00AB22D3"/>
    <w:rsid w:val="00AB22E2"/>
    <w:rsid w:val="00AB233F"/>
    <w:rsid w:val="00AB25C9"/>
    <w:rsid w:val="00AB3116"/>
    <w:rsid w:val="00AB405E"/>
    <w:rsid w:val="00AB4842"/>
    <w:rsid w:val="00AB4BA4"/>
    <w:rsid w:val="00AB5237"/>
    <w:rsid w:val="00AB527F"/>
    <w:rsid w:val="00AB5420"/>
    <w:rsid w:val="00AB5ABA"/>
    <w:rsid w:val="00AB5B01"/>
    <w:rsid w:val="00AB5C8C"/>
    <w:rsid w:val="00AB62E7"/>
    <w:rsid w:val="00AB6927"/>
    <w:rsid w:val="00AB6B7B"/>
    <w:rsid w:val="00AB6C4E"/>
    <w:rsid w:val="00AB7569"/>
    <w:rsid w:val="00AB7661"/>
    <w:rsid w:val="00AB770A"/>
    <w:rsid w:val="00AB795F"/>
    <w:rsid w:val="00AB7D51"/>
    <w:rsid w:val="00AB7DB4"/>
    <w:rsid w:val="00AB7E6C"/>
    <w:rsid w:val="00AC0FFC"/>
    <w:rsid w:val="00AC1463"/>
    <w:rsid w:val="00AC156C"/>
    <w:rsid w:val="00AC16EF"/>
    <w:rsid w:val="00AC1D06"/>
    <w:rsid w:val="00AC2ABD"/>
    <w:rsid w:val="00AC2CC9"/>
    <w:rsid w:val="00AC31AE"/>
    <w:rsid w:val="00AC44D0"/>
    <w:rsid w:val="00AC46B8"/>
    <w:rsid w:val="00AC5648"/>
    <w:rsid w:val="00AC5FFE"/>
    <w:rsid w:val="00AC6D54"/>
    <w:rsid w:val="00AC71F0"/>
    <w:rsid w:val="00AC7995"/>
    <w:rsid w:val="00AD0569"/>
    <w:rsid w:val="00AD0DCD"/>
    <w:rsid w:val="00AD1168"/>
    <w:rsid w:val="00AD1262"/>
    <w:rsid w:val="00AD13EE"/>
    <w:rsid w:val="00AD15B4"/>
    <w:rsid w:val="00AD2340"/>
    <w:rsid w:val="00AD3421"/>
    <w:rsid w:val="00AD3788"/>
    <w:rsid w:val="00AD395D"/>
    <w:rsid w:val="00AD4802"/>
    <w:rsid w:val="00AD5BA8"/>
    <w:rsid w:val="00AD6190"/>
    <w:rsid w:val="00AD6F1C"/>
    <w:rsid w:val="00AE06EF"/>
    <w:rsid w:val="00AE0D55"/>
    <w:rsid w:val="00AE0DB0"/>
    <w:rsid w:val="00AE0DB9"/>
    <w:rsid w:val="00AE119A"/>
    <w:rsid w:val="00AE25B4"/>
    <w:rsid w:val="00AE3200"/>
    <w:rsid w:val="00AE3C20"/>
    <w:rsid w:val="00AE3D74"/>
    <w:rsid w:val="00AE44C5"/>
    <w:rsid w:val="00AE4764"/>
    <w:rsid w:val="00AE484D"/>
    <w:rsid w:val="00AE4DE8"/>
    <w:rsid w:val="00AE5984"/>
    <w:rsid w:val="00AE5BD8"/>
    <w:rsid w:val="00AE5BF1"/>
    <w:rsid w:val="00AE5CA9"/>
    <w:rsid w:val="00AE66F1"/>
    <w:rsid w:val="00AE687C"/>
    <w:rsid w:val="00AE6A01"/>
    <w:rsid w:val="00AE6A74"/>
    <w:rsid w:val="00AE6EE8"/>
    <w:rsid w:val="00AE73C4"/>
    <w:rsid w:val="00AE73E5"/>
    <w:rsid w:val="00AE7F19"/>
    <w:rsid w:val="00AF001A"/>
    <w:rsid w:val="00AF0C73"/>
    <w:rsid w:val="00AF1BBC"/>
    <w:rsid w:val="00AF22A5"/>
    <w:rsid w:val="00AF2BEA"/>
    <w:rsid w:val="00AF321E"/>
    <w:rsid w:val="00AF32E7"/>
    <w:rsid w:val="00AF41D6"/>
    <w:rsid w:val="00AF4E11"/>
    <w:rsid w:val="00AF5278"/>
    <w:rsid w:val="00AF5973"/>
    <w:rsid w:val="00AF5A18"/>
    <w:rsid w:val="00AF70D4"/>
    <w:rsid w:val="00AF7A5E"/>
    <w:rsid w:val="00AF7B0E"/>
    <w:rsid w:val="00B00C6D"/>
    <w:rsid w:val="00B0117A"/>
    <w:rsid w:val="00B016B9"/>
    <w:rsid w:val="00B0185C"/>
    <w:rsid w:val="00B01F40"/>
    <w:rsid w:val="00B02449"/>
    <w:rsid w:val="00B03CC0"/>
    <w:rsid w:val="00B0451E"/>
    <w:rsid w:val="00B04ED5"/>
    <w:rsid w:val="00B04EE9"/>
    <w:rsid w:val="00B06335"/>
    <w:rsid w:val="00B068F3"/>
    <w:rsid w:val="00B100F2"/>
    <w:rsid w:val="00B11F20"/>
    <w:rsid w:val="00B120DE"/>
    <w:rsid w:val="00B123F0"/>
    <w:rsid w:val="00B128ED"/>
    <w:rsid w:val="00B134F8"/>
    <w:rsid w:val="00B13708"/>
    <w:rsid w:val="00B13A12"/>
    <w:rsid w:val="00B1406E"/>
    <w:rsid w:val="00B15406"/>
    <w:rsid w:val="00B15EC3"/>
    <w:rsid w:val="00B16289"/>
    <w:rsid w:val="00B162E9"/>
    <w:rsid w:val="00B167D7"/>
    <w:rsid w:val="00B16E7A"/>
    <w:rsid w:val="00B16F4F"/>
    <w:rsid w:val="00B171E4"/>
    <w:rsid w:val="00B175F5"/>
    <w:rsid w:val="00B200E1"/>
    <w:rsid w:val="00B21570"/>
    <w:rsid w:val="00B21889"/>
    <w:rsid w:val="00B2225E"/>
    <w:rsid w:val="00B2246F"/>
    <w:rsid w:val="00B22DD7"/>
    <w:rsid w:val="00B2318C"/>
    <w:rsid w:val="00B2477D"/>
    <w:rsid w:val="00B24BE9"/>
    <w:rsid w:val="00B2501F"/>
    <w:rsid w:val="00B250C1"/>
    <w:rsid w:val="00B25136"/>
    <w:rsid w:val="00B255B9"/>
    <w:rsid w:val="00B255C6"/>
    <w:rsid w:val="00B25AE1"/>
    <w:rsid w:val="00B277D7"/>
    <w:rsid w:val="00B27D44"/>
    <w:rsid w:val="00B27EC7"/>
    <w:rsid w:val="00B30891"/>
    <w:rsid w:val="00B31544"/>
    <w:rsid w:val="00B31550"/>
    <w:rsid w:val="00B31638"/>
    <w:rsid w:val="00B31D45"/>
    <w:rsid w:val="00B32B4E"/>
    <w:rsid w:val="00B32C64"/>
    <w:rsid w:val="00B32FED"/>
    <w:rsid w:val="00B3332A"/>
    <w:rsid w:val="00B333CE"/>
    <w:rsid w:val="00B33D1A"/>
    <w:rsid w:val="00B33FA1"/>
    <w:rsid w:val="00B34F60"/>
    <w:rsid w:val="00B35EFA"/>
    <w:rsid w:val="00B36A2F"/>
    <w:rsid w:val="00B37261"/>
    <w:rsid w:val="00B37F74"/>
    <w:rsid w:val="00B41A77"/>
    <w:rsid w:val="00B4341B"/>
    <w:rsid w:val="00B4392A"/>
    <w:rsid w:val="00B43A3E"/>
    <w:rsid w:val="00B4455B"/>
    <w:rsid w:val="00B44999"/>
    <w:rsid w:val="00B44B8C"/>
    <w:rsid w:val="00B45BBE"/>
    <w:rsid w:val="00B46F59"/>
    <w:rsid w:val="00B471D7"/>
    <w:rsid w:val="00B47E5B"/>
    <w:rsid w:val="00B50B47"/>
    <w:rsid w:val="00B511A3"/>
    <w:rsid w:val="00B512A8"/>
    <w:rsid w:val="00B51B90"/>
    <w:rsid w:val="00B52875"/>
    <w:rsid w:val="00B548C5"/>
    <w:rsid w:val="00B54C11"/>
    <w:rsid w:val="00B54FB0"/>
    <w:rsid w:val="00B55509"/>
    <w:rsid w:val="00B557B1"/>
    <w:rsid w:val="00B56126"/>
    <w:rsid w:val="00B562B5"/>
    <w:rsid w:val="00B57221"/>
    <w:rsid w:val="00B57DE1"/>
    <w:rsid w:val="00B57ED2"/>
    <w:rsid w:val="00B60618"/>
    <w:rsid w:val="00B60B15"/>
    <w:rsid w:val="00B610BB"/>
    <w:rsid w:val="00B61416"/>
    <w:rsid w:val="00B6211F"/>
    <w:rsid w:val="00B625BC"/>
    <w:rsid w:val="00B62C04"/>
    <w:rsid w:val="00B62DE7"/>
    <w:rsid w:val="00B63627"/>
    <w:rsid w:val="00B637B3"/>
    <w:rsid w:val="00B640B1"/>
    <w:rsid w:val="00B64512"/>
    <w:rsid w:val="00B6468C"/>
    <w:rsid w:val="00B648C5"/>
    <w:rsid w:val="00B64CF5"/>
    <w:rsid w:val="00B64DC3"/>
    <w:rsid w:val="00B64F84"/>
    <w:rsid w:val="00B65259"/>
    <w:rsid w:val="00B65BEF"/>
    <w:rsid w:val="00B66706"/>
    <w:rsid w:val="00B66B50"/>
    <w:rsid w:val="00B67821"/>
    <w:rsid w:val="00B67AD8"/>
    <w:rsid w:val="00B70966"/>
    <w:rsid w:val="00B70B50"/>
    <w:rsid w:val="00B70BFC"/>
    <w:rsid w:val="00B7194E"/>
    <w:rsid w:val="00B723D2"/>
    <w:rsid w:val="00B723D7"/>
    <w:rsid w:val="00B7251E"/>
    <w:rsid w:val="00B74EA7"/>
    <w:rsid w:val="00B7514E"/>
    <w:rsid w:val="00B75288"/>
    <w:rsid w:val="00B75812"/>
    <w:rsid w:val="00B75A43"/>
    <w:rsid w:val="00B75C81"/>
    <w:rsid w:val="00B762F6"/>
    <w:rsid w:val="00B7695D"/>
    <w:rsid w:val="00B77179"/>
    <w:rsid w:val="00B77B94"/>
    <w:rsid w:val="00B77C85"/>
    <w:rsid w:val="00B800E2"/>
    <w:rsid w:val="00B80157"/>
    <w:rsid w:val="00B809A6"/>
    <w:rsid w:val="00B809E2"/>
    <w:rsid w:val="00B80A4B"/>
    <w:rsid w:val="00B80D50"/>
    <w:rsid w:val="00B81356"/>
    <w:rsid w:val="00B81739"/>
    <w:rsid w:val="00B82214"/>
    <w:rsid w:val="00B82676"/>
    <w:rsid w:val="00B827B4"/>
    <w:rsid w:val="00B82DD0"/>
    <w:rsid w:val="00B83195"/>
    <w:rsid w:val="00B83226"/>
    <w:rsid w:val="00B836B8"/>
    <w:rsid w:val="00B836F1"/>
    <w:rsid w:val="00B83BC9"/>
    <w:rsid w:val="00B84013"/>
    <w:rsid w:val="00B84621"/>
    <w:rsid w:val="00B84AE5"/>
    <w:rsid w:val="00B85642"/>
    <w:rsid w:val="00B85DA9"/>
    <w:rsid w:val="00B868D8"/>
    <w:rsid w:val="00B87002"/>
    <w:rsid w:val="00B87368"/>
    <w:rsid w:val="00B87C5E"/>
    <w:rsid w:val="00B90966"/>
    <w:rsid w:val="00B90FA6"/>
    <w:rsid w:val="00B90FB9"/>
    <w:rsid w:val="00B926CA"/>
    <w:rsid w:val="00B9360A"/>
    <w:rsid w:val="00B93A00"/>
    <w:rsid w:val="00B945F8"/>
    <w:rsid w:val="00B94707"/>
    <w:rsid w:val="00B94BA0"/>
    <w:rsid w:val="00B94C63"/>
    <w:rsid w:val="00B95443"/>
    <w:rsid w:val="00B955A1"/>
    <w:rsid w:val="00B95923"/>
    <w:rsid w:val="00B9595E"/>
    <w:rsid w:val="00B96003"/>
    <w:rsid w:val="00B96038"/>
    <w:rsid w:val="00B966B5"/>
    <w:rsid w:val="00B96B8D"/>
    <w:rsid w:val="00B96C70"/>
    <w:rsid w:val="00B9719A"/>
    <w:rsid w:val="00B972F3"/>
    <w:rsid w:val="00BA0027"/>
    <w:rsid w:val="00BA09B5"/>
    <w:rsid w:val="00BA0B7D"/>
    <w:rsid w:val="00BA11EC"/>
    <w:rsid w:val="00BA125B"/>
    <w:rsid w:val="00BA15C2"/>
    <w:rsid w:val="00BA1A32"/>
    <w:rsid w:val="00BA2170"/>
    <w:rsid w:val="00BA322F"/>
    <w:rsid w:val="00BA3EE4"/>
    <w:rsid w:val="00BA400E"/>
    <w:rsid w:val="00BA420A"/>
    <w:rsid w:val="00BA4519"/>
    <w:rsid w:val="00BA4B96"/>
    <w:rsid w:val="00BA4F57"/>
    <w:rsid w:val="00BA4FDC"/>
    <w:rsid w:val="00BA5557"/>
    <w:rsid w:val="00BA5930"/>
    <w:rsid w:val="00BA660A"/>
    <w:rsid w:val="00BA66F2"/>
    <w:rsid w:val="00BA7549"/>
    <w:rsid w:val="00BA7AC8"/>
    <w:rsid w:val="00BA7B38"/>
    <w:rsid w:val="00BB0107"/>
    <w:rsid w:val="00BB052E"/>
    <w:rsid w:val="00BB053E"/>
    <w:rsid w:val="00BB0B39"/>
    <w:rsid w:val="00BB11AD"/>
    <w:rsid w:val="00BB14E3"/>
    <w:rsid w:val="00BB154C"/>
    <w:rsid w:val="00BB155C"/>
    <w:rsid w:val="00BB1D7C"/>
    <w:rsid w:val="00BB28EC"/>
    <w:rsid w:val="00BB3523"/>
    <w:rsid w:val="00BB35E1"/>
    <w:rsid w:val="00BB41BF"/>
    <w:rsid w:val="00BB441B"/>
    <w:rsid w:val="00BB4D5A"/>
    <w:rsid w:val="00BB5426"/>
    <w:rsid w:val="00BB54AC"/>
    <w:rsid w:val="00BB6089"/>
    <w:rsid w:val="00BB6349"/>
    <w:rsid w:val="00BB6626"/>
    <w:rsid w:val="00BB6EB2"/>
    <w:rsid w:val="00BB7E33"/>
    <w:rsid w:val="00BC15B7"/>
    <w:rsid w:val="00BC188A"/>
    <w:rsid w:val="00BC1D8C"/>
    <w:rsid w:val="00BC1E6B"/>
    <w:rsid w:val="00BC1E82"/>
    <w:rsid w:val="00BC29BA"/>
    <w:rsid w:val="00BC2C9F"/>
    <w:rsid w:val="00BC2E1B"/>
    <w:rsid w:val="00BC3582"/>
    <w:rsid w:val="00BC40FE"/>
    <w:rsid w:val="00BC51E0"/>
    <w:rsid w:val="00BC53DB"/>
    <w:rsid w:val="00BC5615"/>
    <w:rsid w:val="00BC5AC6"/>
    <w:rsid w:val="00BC6B66"/>
    <w:rsid w:val="00BC6F62"/>
    <w:rsid w:val="00BC73B9"/>
    <w:rsid w:val="00BC74F4"/>
    <w:rsid w:val="00BC799E"/>
    <w:rsid w:val="00BC7D2F"/>
    <w:rsid w:val="00BC7F0D"/>
    <w:rsid w:val="00BC7F22"/>
    <w:rsid w:val="00BD0689"/>
    <w:rsid w:val="00BD0C18"/>
    <w:rsid w:val="00BD0D21"/>
    <w:rsid w:val="00BD0D76"/>
    <w:rsid w:val="00BD1990"/>
    <w:rsid w:val="00BD2879"/>
    <w:rsid w:val="00BD3934"/>
    <w:rsid w:val="00BD3CBF"/>
    <w:rsid w:val="00BD3E37"/>
    <w:rsid w:val="00BD42EF"/>
    <w:rsid w:val="00BD4C4E"/>
    <w:rsid w:val="00BD4E43"/>
    <w:rsid w:val="00BD5A80"/>
    <w:rsid w:val="00BD5F2D"/>
    <w:rsid w:val="00BD6E86"/>
    <w:rsid w:val="00BD7D7D"/>
    <w:rsid w:val="00BE000E"/>
    <w:rsid w:val="00BE07D8"/>
    <w:rsid w:val="00BE0A83"/>
    <w:rsid w:val="00BE0C0C"/>
    <w:rsid w:val="00BE0E9F"/>
    <w:rsid w:val="00BE1577"/>
    <w:rsid w:val="00BE17FC"/>
    <w:rsid w:val="00BE185E"/>
    <w:rsid w:val="00BE19FF"/>
    <w:rsid w:val="00BE21BE"/>
    <w:rsid w:val="00BE43BC"/>
    <w:rsid w:val="00BE4AB8"/>
    <w:rsid w:val="00BE4F5A"/>
    <w:rsid w:val="00BE4F66"/>
    <w:rsid w:val="00BE5357"/>
    <w:rsid w:val="00BE77C0"/>
    <w:rsid w:val="00BE7B46"/>
    <w:rsid w:val="00BF046F"/>
    <w:rsid w:val="00BF08A8"/>
    <w:rsid w:val="00BF0B7D"/>
    <w:rsid w:val="00BF110E"/>
    <w:rsid w:val="00BF1B49"/>
    <w:rsid w:val="00BF1D15"/>
    <w:rsid w:val="00BF2403"/>
    <w:rsid w:val="00BF26A9"/>
    <w:rsid w:val="00BF2F0F"/>
    <w:rsid w:val="00BF2FD8"/>
    <w:rsid w:val="00BF315E"/>
    <w:rsid w:val="00BF32FE"/>
    <w:rsid w:val="00BF33DB"/>
    <w:rsid w:val="00BF3F4C"/>
    <w:rsid w:val="00BF5203"/>
    <w:rsid w:val="00BF5231"/>
    <w:rsid w:val="00BF5465"/>
    <w:rsid w:val="00BF5554"/>
    <w:rsid w:val="00BF5856"/>
    <w:rsid w:val="00BF5FC0"/>
    <w:rsid w:val="00BF684F"/>
    <w:rsid w:val="00BF7379"/>
    <w:rsid w:val="00BF77D8"/>
    <w:rsid w:val="00C00AA8"/>
    <w:rsid w:val="00C00F55"/>
    <w:rsid w:val="00C018A6"/>
    <w:rsid w:val="00C01DAF"/>
    <w:rsid w:val="00C02F7E"/>
    <w:rsid w:val="00C03BE9"/>
    <w:rsid w:val="00C04D02"/>
    <w:rsid w:val="00C04DFA"/>
    <w:rsid w:val="00C05212"/>
    <w:rsid w:val="00C05B65"/>
    <w:rsid w:val="00C05D52"/>
    <w:rsid w:val="00C05EFB"/>
    <w:rsid w:val="00C06718"/>
    <w:rsid w:val="00C06899"/>
    <w:rsid w:val="00C06B17"/>
    <w:rsid w:val="00C06FA4"/>
    <w:rsid w:val="00C071A0"/>
    <w:rsid w:val="00C072CF"/>
    <w:rsid w:val="00C07AB5"/>
    <w:rsid w:val="00C07C1D"/>
    <w:rsid w:val="00C07D49"/>
    <w:rsid w:val="00C07FE6"/>
    <w:rsid w:val="00C10D56"/>
    <w:rsid w:val="00C11164"/>
    <w:rsid w:val="00C11305"/>
    <w:rsid w:val="00C11F92"/>
    <w:rsid w:val="00C12488"/>
    <w:rsid w:val="00C12F9E"/>
    <w:rsid w:val="00C138AF"/>
    <w:rsid w:val="00C13B8F"/>
    <w:rsid w:val="00C143C3"/>
    <w:rsid w:val="00C15B44"/>
    <w:rsid w:val="00C1712E"/>
    <w:rsid w:val="00C171E7"/>
    <w:rsid w:val="00C175E1"/>
    <w:rsid w:val="00C17E1D"/>
    <w:rsid w:val="00C2032D"/>
    <w:rsid w:val="00C205DB"/>
    <w:rsid w:val="00C205F5"/>
    <w:rsid w:val="00C20F62"/>
    <w:rsid w:val="00C217D8"/>
    <w:rsid w:val="00C21F38"/>
    <w:rsid w:val="00C2263D"/>
    <w:rsid w:val="00C240C3"/>
    <w:rsid w:val="00C265B6"/>
    <w:rsid w:val="00C27287"/>
    <w:rsid w:val="00C27A98"/>
    <w:rsid w:val="00C30F72"/>
    <w:rsid w:val="00C310EC"/>
    <w:rsid w:val="00C31E4A"/>
    <w:rsid w:val="00C33A5D"/>
    <w:rsid w:val="00C3457C"/>
    <w:rsid w:val="00C34D65"/>
    <w:rsid w:val="00C35348"/>
    <w:rsid w:val="00C35F1B"/>
    <w:rsid w:val="00C36C57"/>
    <w:rsid w:val="00C37AB0"/>
    <w:rsid w:val="00C37DCE"/>
    <w:rsid w:val="00C40AB0"/>
    <w:rsid w:val="00C40C28"/>
    <w:rsid w:val="00C41BA5"/>
    <w:rsid w:val="00C423FD"/>
    <w:rsid w:val="00C4301D"/>
    <w:rsid w:val="00C434BB"/>
    <w:rsid w:val="00C4366B"/>
    <w:rsid w:val="00C4384F"/>
    <w:rsid w:val="00C45127"/>
    <w:rsid w:val="00C454B2"/>
    <w:rsid w:val="00C4554C"/>
    <w:rsid w:val="00C45E33"/>
    <w:rsid w:val="00C46284"/>
    <w:rsid w:val="00C46D50"/>
    <w:rsid w:val="00C46F8A"/>
    <w:rsid w:val="00C473C7"/>
    <w:rsid w:val="00C506F4"/>
    <w:rsid w:val="00C50B2F"/>
    <w:rsid w:val="00C533F4"/>
    <w:rsid w:val="00C55025"/>
    <w:rsid w:val="00C55870"/>
    <w:rsid w:val="00C562C6"/>
    <w:rsid w:val="00C565E8"/>
    <w:rsid w:val="00C56C70"/>
    <w:rsid w:val="00C56CBC"/>
    <w:rsid w:val="00C56DA8"/>
    <w:rsid w:val="00C57BEE"/>
    <w:rsid w:val="00C57CC6"/>
    <w:rsid w:val="00C57E85"/>
    <w:rsid w:val="00C6099E"/>
    <w:rsid w:val="00C6103E"/>
    <w:rsid w:val="00C61539"/>
    <w:rsid w:val="00C618D8"/>
    <w:rsid w:val="00C62666"/>
    <w:rsid w:val="00C62EB9"/>
    <w:rsid w:val="00C666A2"/>
    <w:rsid w:val="00C66ACC"/>
    <w:rsid w:val="00C66B8C"/>
    <w:rsid w:val="00C671D2"/>
    <w:rsid w:val="00C67918"/>
    <w:rsid w:val="00C67A6D"/>
    <w:rsid w:val="00C67E08"/>
    <w:rsid w:val="00C70330"/>
    <w:rsid w:val="00C707D5"/>
    <w:rsid w:val="00C70F33"/>
    <w:rsid w:val="00C710B3"/>
    <w:rsid w:val="00C710F8"/>
    <w:rsid w:val="00C711BA"/>
    <w:rsid w:val="00C7161D"/>
    <w:rsid w:val="00C72D66"/>
    <w:rsid w:val="00C7311D"/>
    <w:rsid w:val="00C73365"/>
    <w:rsid w:val="00C7378C"/>
    <w:rsid w:val="00C73799"/>
    <w:rsid w:val="00C73A05"/>
    <w:rsid w:val="00C750B2"/>
    <w:rsid w:val="00C75391"/>
    <w:rsid w:val="00C75E9C"/>
    <w:rsid w:val="00C768CF"/>
    <w:rsid w:val="00C773A7"/>
    <w:rsid w:val="00C80084"/>
    <w:rsid w:val="00C813F4"/>
    <w:rsid w:val="00C8154D"/>
    <w:rsid w:val="00C81FA5"/>
    <w:rsid w:val="00C829B0"/>
    <w:rsid w:val="00C82BCB"/>
    <w:rsid w:val="00C82DD7"/>
    <w:rsid w:val="00C831C3"/>
    <w:rsid w:val="00C839A5"/>
    <w:rsid w:val="00C85136"/>
    <w:rsid w:val="00C852C9"/>
    <w:rsid w:val="00C854CE"/>
    <w:rsid w:val="00C85A24"/>
    <w:rsid w:val="00C861D2"/>
    <w:rsid w:val="00C862E7"/>
    <w:rsid w:val="00C865FA"/>
    <w:rsid w:val="00C867C5"/>
    <w:rsid w:val="00C86C68"/>
    <w:rsid w:val="00C87E39"/>
    <w:rsid w:val="00C922D8"/>
    <w:rsid w:val="00C923F0"/>
    <w:rsid w:val="00C92A0A"/>
    <w:rsid w:val="00C92F85"/>
    <w:rsid w:val="00C931FF"/>
    <w:rsid w:val="00C937B3"/>
    <w:rsid w:val="00C943AC"/>
    <w:rsid w:val="00C9556F"/>
    <w:rsid w:val="00C959B3"/>
    <w:rsid w:val="00C95EE2"/>
    <w:rsid w:val="00C96648"/>
    <w:rsid w:val="00C96A33"/>
    <w:rsid w:val="00C972D3"/>
    <w:rsid w:val="00C97C3A"/>
    <w:rsid w:val="00C97C84"/>
    <w:rsid w:val="00CA06CE"/>
    <w:rsid w:val="00CA20B3"/>
    <w:rsid w:val="00CA34DC"/>
    <w:rsid w:val="00CA354B"/>
    <w:rsid w:val="00CA3558"/>
    <w:rsid w:val="00CA4016"/>
    <w:rsid w:val="00CA436D"/>
    <w:rsid w:val="00CA447E"/>
    <w:rsid w:val="00CA547A"/>
    <w:rsid w:val="00CA5954"/>
    <w:rsid w:val="00CA5C1F"/>
    <w:rsid w:val="00CA5E17"/>
    <w:rsid w:val="00CA6281"/>
    <w:rsid w:val="00CA62AF"/>
    <w:rsid w:val="00CA7305"/>
    <w:rsid w:val="00CA7899"/>
    <w:rsid w:val="00CA7965"/>
    <w:rsid w:val="00CB0AB5"/>
    <w:rsid w:val="00CB1373"/>
    <w:rsid w:val="00CB253C"/>
    <w:rsid w:val="00CB2F35"/>
    <w:rsid w:val="00CB382F"/>
    <w:rsid w:val="00CB459B"/>
    <w:rsid w:val="00CB45CE"/>
    <w:rsid w:val="00CB4629"/>
    <w:rsid w:val="00CB462E"/>
    <w:rsid w:val="00CB4CC7"/>
    <w:rsid w:val="00CB4DE3"/>
    <w:rsid w:val="00CB5081"/>
    <w:rsid w:val="00CB5EEC"/>
    <w:rsid w:val="00CB6EA1"/>
    <w:rsid w:val="00CB7C86"/>
    <w:rsid w:val="00CC0A01"/>
    <w:rsid w:val="00CC0A2E"/>
    <w:rsid w:val="00CC0D1E"/>
    <w:rsid w:val="00CC14D6"/>
    <w:rsid w:val="00CC16B4"/>
    <w:rsid w:val="00CC1E72"/>
    <w:rsid w:val="00CC3958"/>
    <w:rsid w:val="00CC50AC"/>
    <w:rsid w:val="00CC5C6B"/>
    <w:rsid w:val="00CC5FB6"/>
    <w:rsid w:val="00CC67C3"/>
    <w:rsid w:val="00CC733D"/>
    <w:rsid w:val="00CC7E41"/>
    <w:rsid w:val="00CD04E7"/>
    <w:rsid w:val="00CD127A"/>
    <w:rsid w:val="00CD2510"/>
    <w:rsid w:val="00CD25A5"/>
    <w:rsid w:val="00CD2632"/>
    <w:rsid w:val="00CD38F1"/>
    <w:rsid w:val="00CD3B1C"/>
    <w:rsid w:val="00CD41F1"/>
    <w:rsid w:val="00CD4CA2"/>
    <w:rsid w:val="00CD5893"/>
    <w:rsid w:val="00CD5DA1"/>
    <w:rsid w:val="00CD6342"/>
    <w:rsid w:val="00CD6AD2"/>
    <w:rsid w:val="00CD7248"/>
    <w:rsid w:val="00CD7474"/>
    <w:rsid w:val="00CD7906"/>
    <w:rsid w:val="00CE08E2"/>
    <w:rsid w:val="00CE21FC"/>
    <w:rsid w:val="00CE2484"/>
    <w:rsid w:val="00CE2AA3"/>
    <w:rsid w:val="00CE3DFE"/>
    <w:rsid w:val="00CE4769"/>
    <w:rsid w:val="00CE7487"/>
    <w:rsid w:val="00CE765C"/>
    <w:rsid w:val="00CE7A96"/>
    <w:rsid w:val="00CE7F8D"/>
    <w:rsid w:val="00CF0E40"/>
    <w:rsid w:val="00CF23E6"/>
    <w:rsid w:val="00CF26E8"/>
    <w:rsid w:val="00CF2706"/>
    <w:rsid w:val="00CF274C"/>
    <w:rsid w:val="00CF2A15"/>
    <w:rsid w:val="00CF3EC6"/>
    <w:rsid w:val="00CF4E87"/>
    <w:rsid w:val="00CF510E"/>
    <w:rsid w:val="00CF5520"/>
    <w:rsid w:val="00CF6607"/>
    <w:rsid w:val="00CF74E4"/>
    <w:rsid w:val="00CF7AF5"/>
    <w:rsid w:val="00D001E2"/>
    <w:rsid w:val="00D00C9E"/>
    <w:rsid w:val="00D00D34"/>
    <w:rsid w:val="00D012CB"/>
    <w:rsid w:val="00D0132E"/>
    <w:rsid w:val="00D01F63"/>
    <w:rsid w:val="00D02677"/>
    <w:rsid w:val="00D02733"/>
    <w:rsid w:val="00D0277F"/>
    <w:rsid w:val="00D028E9"/>
    <w:rsid w:val="00D02A9D"/>
    <w:rsid w:val="00D034D0"/>
    <w:rsid w:val="00D04AE6"/>
    <w:rsid w:val="00D04B29"/>
    <w:rsid w:val="00D05ACC"/>
    <w:rsid w:val="00D06053"/>
    <w:rsid w:val="00D0658D"/>
    <w:rsid w:val="00D06666"/>
    <w:rsid w:val="00D06CB9"/>
    <w:rsid w:val="00D07A8C"/>
    <w:rsid w:val="00D07F9E"/>
    <w:rsid w:val="00D106A3"/>
    <w:rsid w:val="00D1187E"/>
    <w:rsid w:val="00D11CC7"/>
    <w:rsid w:val="00D12A74"/>
    <w:rsid w:val="00D12EDF"/>
    <w:rsid w:val="00D135B1"/>
    <w:rsid w:val="00D1372A"/>
    <w:rsid w:val="00D1377D"/>
    <w:rsid w:val="00D144C2"/>
    <w:rsid w:val="00D1479C"/>
    <w:rsid w:val="00D147A5"/>
    <w:rsid w:val="00D14820"/>
    <w:rsid w:val="00D149BA"/>
    <w:rsid w:val="00D14D95"/>
    <w:rsid w:val="00D14FAC"/>
    <w:rsid w:val="00D151F8"/>
    <w:rsid w:val="00D166C4"/>
    <w:rsid w:val="00D1680B"/>
    <w:rsid w:val="00D16CC9"/>
    <w:rsid w:val="00D16DC6"/>
    <w:rsid w:val="00D16E04"/>
    <w:rsid w:val="00D17B54"/>
    <w:rsid w:val="00D208E0"/>
    <w:rsid w:val="00D2126A"/>
    <w:rsid w:val="00D212DB"/>
    <w:rsid w:val="00D2132C"/>
    <w:rsid w:val="00D21C6B"/>
    <w:rsid w:val="00D21DAB"/>
    <w:rsid w:val="00D22926"/>
    <w:rsid w:val="00D22A8B"/>
    <w:rsid w:val="00D2556A"/>
    <w:rsid w:val="00D25CC0"/>
    <w:rsid w:val="00D25DA9"/>
    <w:rsid w:val="00D26A3B"/>
    <w:rsid w:val="00D2782C"/>
    <w:rsid w:val="00D3017F"/>
    <w:rsid w:val="00D3032D"/>
    <w:rsid w:val="00D312BC"/>
    <w:rsid w:val="00D314E9"/>
    <w:rsid w:val="00D318EB"/>
    <w:rsid w:val="00D31CF0"/>
    <w:rsid w:val="00D31FE7"/>
    <w:rsid w:val="00D3299B"/>
    <w:rsid w:val="00D32AFF"/>
    <w:rsid w:val="00D32EEB"/>
    <w:rsid w:val="00D332E7"/>
    <w:rsid w:val="00D3391F"/>
    <w:rsid w:val="00D33B00"/>
    <w:rsid w:val="00D33CEE"/>
    <w:rsid w:val="00D3406B"/>
    <w:rsid w:val="00D34718"/>
    <w:rsid w:val="00D348EA"/>
    <w:rsid w:val="00D34DA7"/>
    <w:rsid w:val="00D35305"/>
    <w:rsid w:val="00D354F9"/>
    <w:rsid w:val="00D35664"/>
    <w:rsid w:val="00D3580B"/>
    <w:rsid w:val="00D406D2"/>
    <w:rsid w:val="00D40A58"/>
    <w:rsid w:val="00D40A77"/>
    <w:rsid w:val="00D4177D"/>
    <w:rsid w:val="00D41CE8"/>
    <w:rsid w:val="00D42C84"/>
    <w:rsid w:val="00D4308D"/>
    <w:rsid w:val="00D4379B"/>
    <w:rsid w:val="00D43EEA"/>
    <w:rsid w:val="00D44DC9"/>
    <w:rsid w:val="00D45C66"/>
    <w:rsid w:val="00D4667A"/>
    <w:rsid w:val="00D469A0"/>
    <w:rsid w:val="00D46FE7"/>
    <w:rsid w:val="00D47274"/>
    <w:rsid w:val="00D479ED"/>
    <w:rsid w:val="00D47B9C"/>
    <w:rsid w:val="00D502CC"/>
    <w:rsid w:val="00D51723"/>
    <w:rsid w:val="00D51884"/>
    <w:rsid w:val="00D51DC2"/>
    <w:rsid w:val="00D51E99"/>
    <w:rsid w:val="00D53685"/>
    <w:rsid w:val="00D53E0E"/>
    <w:rsid w:val="00D55D44"/>
    <w:rsid w:val="00D560BE"/>
    <w:rsid w:val="00D56179"/>
    <w:rsid w:val="00D578AD"/>
    <w:rsid w:val="00D60494"/>
    <w:rsid w:val="00D60790"/>
    <w:rsid w:val="00D60EC4"/>
    <w:rsid w:val="00D61EF2"/>
    <w:rsid w:val="00D62645"/>
    <w:rsid w:val="00D62F85"/>
    <w:rsid w:val="00D6395C"/>
    <w:rsid w:val="00D641A5"/>
    <w:rsid w:val="00D64E24"/>
    <w:rsid w:val="00D64FC1"/>
    <w:rsid w:val="00D64FE0"/>
    <w:rsid w:val="00D650A6"/>
    <w:rsid w:val="00D65533"/>
    <w:rsid w:val="00D66D7D"/>
    <w:rsid w:val="00D6700A"/>
    <w:rsid w:val="00D6740B"/>
    <w:rsid w:val="00D674D1"/>
    <w:rsid w:val="00D679B1"/>
    <w:rsid w:val="00D70D25"/>
    <w:rsid w:val="00D715B9"/>
    <w:rsid w:val="00D71B15"/>
    <w:rsid w:val="00D71EC7"/>
    <w:rsid w:val="00D72C1D"/>
    <w:rsid w:val="00D72D67"/>
    <w:rsid w:val="00D7530E"/>
    <w:rsid w:val="00D76279"/>
    <w:rsid w:val="00D764E5"/>
    <w:rsid w:val="00D76803"/>
    <w:rsid w:val="00D80410"/>
    <w:rsid w:val="00D806C4"/>
    <w:rsid w:val="00D80865"/>
    <w:rsid w:val="00D81A5D"/>
    <w:rsid w:val="00D8209E"/>
    <w:rsid w:val="00D8213D"/>
    <w:rsid w:val="00D8262D"/>
    <w:rsid w:val="00D83781"/>
    <w:rsid w:val="00D84AAE"/>
    <w:rsid w:val="00D84F2B"/>
    <w:rsid w:val="00D852A8"/>
    <w:rsid w:val="00D852EB"/>
    <w:rsid w:val="00D8561F"/>
    <w:rsid w:val="00D861E7"/>
    <w:rsid w:val="00D86F4B"/>
    <w:rsid w:val="00D8720D"/>
    <w:rsid w:val="00D8796C"/>
    <w:rsid w:val="00D87A85"/>
    <w:rsid w:val="00D87D7F"/>
    <w:rsid w:val="00D903A3"/>
    <w:rsid w:val="00D903D9"/>
    <w:rsid w:val="00D9051C"/>
    <w:rsid w:val="00D91ACD"/>
    <w:rsid w:val="00D91EFE"/>
    <w:rsid w:val="00D91F36"/>
    <w:rsid w:val="00D92A12"/>
    <w:rsid w:val="00D938BB"/>
    <w:rsid w:val="00D945FF"/>
    <w:rsid w:val="00D94857"/>
    <w:rsid w:val="00D948F0"/>
    <w:rsid w:val="00D94EE5"/>
    <w:rsid w:val="00D950F7"/>
    <w:rsid w:val="00D9569D"/>
    <w:rsid w:val="00D95F47"/>
    <w:rsid w:val="00D969B5"/>
    <w:rsid w:val="00D96FA5"/>
    <w:rsid w:val="00D97825"/>
    <w:rsid w:val="00D97C51"/>
    <w:rsid w:val="00DA0095"/>
    <w:rsid w:val="00DA016F"/>
    <w:rsid w:val="00DA0184"/>
    <w:rsid w:val="00DA16A0"/>
    <w:rsid w:val="00DA2ABB"/>
    <w:rsid w:val="00DA2CBD"/>
    <w:rsid w:val="00DA2CF0"/>
    <w:rsid w:val="00DA33DE"/>
    <w:rsid w:val="00DA3694"/>
    <w:rsid w:val="00DA382F"/>
    <w:rsid w:val="00DA38BF"/>
    <w:rsid w:val="00DA48D4"/>
    <w:rsid w:val="00DA5A89"/>
    <w:rsid w:val="00DA60C2"/>
    <w:rsid w:val="00DA645F"/>
    <w:rsid w:val="00DA697D"/>
    <w:rsid w:val="00DA6D0A"/>
    <w:rsid w:val="00DA7637"/>
    <w:rsid w:val="00DA77A7"/>
    <w:rsid w:val="00DA7EE4"/>
    <w:rsid w:val="00DB194F"/>
    <w:rsid w:val="00DB22B5"/>
    <w:rsid w:val="00DB26AD"/>
    <w:rsid w:val="00DB2CC6"/>
    <w:rsid w:val="00DB3374"/>
    <w:rsid w:val="00DB338A"/>
    <w:rsid w:val="00DB44E6"/>
    <w:rsid w:val="00DB48A8"/>
    <w:rsid w:val="00DB5010"/>
    <w:rsid w:val="00DB5033"/>
    <w:rsid w:val="00DB5789"/>
    <w:rsid w:val="00DB68BA"/>
    <w:rsid w:val="00DB6DC7"/>
    <w:rsid w:val="00DB6F25"/>
    <w:rsid w:val="00DB73A7"/>
    <w:rsid w:val="00DB74E9"/>
    <w:rsid w:val="00DB76EA"/>
    <w:rsid w:val="00DC0BF8"/>
    <w:rsid w:val="00DC1433"/>
    <w:rsid w:val="00DC2090"/>
    <w:rsid w:val="00DC26A3"/>
    <w:rsid w:val="00DC2E11"/>
    <w:rsid w:val="00DC2F30"/>
    <w:rsid w:val="00DC31E0"/>
    <w:rsid w:val="00DC34BF"/>
    <w:rsid w:val="00DC354A"/>
    <w:rsid w:val="00DC3B8C"/>
    <w:rsid w:val="00DC432F"/>
    <w:rsid w:val="00DC4668"/>
    <w:rsid w:val="00DC4777"/>
    <w:rsid w:val="00DC5264"/>
    <w:rsid w:val="00DC582C"/>
    <w:rsid w:val="00DC6465"/>
    <w:rsid w:val="00DC6AC0"/>
    <w:rsid w:val="00DC7BDA"/>
    <w:rsid w:val="00DC7CA1"/>
    <w:rsid w:val="00DC7D64"/>
    <w:rsid w:val="00DD0294"/>
    <w:rsid w:val="00DD0A6B"/>
    <w:rsid w:val="00DD0AE9"/>
    <w:rsid w:val="00DD0F0D"/>
    <w:rsid w:val="00DD19A8"/>
    <w:rsid w:val="00DD1A41"/>
    <w:rsid w:val="00DD2B3E"/>
    <w:rsid w:val="00DD4217"/>
    <w:rsid w:val="00DD432C"/>
    <w:rsid w:val="00DD46A2"/>
    <w:rsid w:val="00DD55C8"/>
    <w:rsid w:val="00DD63B5"/>
    <w:rsid w:val="00DD67B5"/>
    <w:rsid w:val="00DD68EC"/>
    <w:rsid w:val="00DD7BA7"/>
    <w:rsid w:val="00DD7F21"/>
    <w:rsid w:val="00DD7FA5"/>
    <w:rsid w:val="00DE0017"/>
    <w:rsid w:val="00DE09C1"/>
    <w:rsid w:val="00DE0C41"/>
    <w:rsid w:val="00DE0C4B"/>
    <w:rsid w:val="00DE2AC7"/>
    <w:rsid w:val="00DE2B96"/>
    <w:rsid w:val="00DE48D4"/>
    <w:rsid w:val="00DE5F72"/>
    <w:rsid w:val="00DE604F"/>
    <w:rsid w:val="00DE6103"/>
    <w:rsid w:val="00DE7389"/>
    <w:rsid w:val="00DF0297"/>
    <w:rsid w:val="00DF0B76"/>
    <w:rsid w:val="00DF15F1"/>
    <w:rsid w:val="00DF189E"/>
    <w:rsid w:val="00DF1D22"/>
    <w:rsid w:val="00DF2256"/>
    <w:rsid w:val="00DF2F86"/>
    <w:rsid w:val="00DF3B06"/>
    <w:rsid w:val="00DF47BA"/>
    <w:rsid w:val="00DF4B6F"/>
    <w:rsid w:val="00DF53F0"/>
    <w:rsid w:val="00DF5FAD"/>
    <w:rsid w:val="00DF7A0C"/>
    <w:rsid w:val="00DF7BED"/>
    <w:rsid w:val="00E0032A"/>
    <w:rsid w:val="00E0079A"/>
    <w:rsid w:val="00E00BCB"/>
    <w:rsid w:val="00E02250"/>
    <w:rsid w:val="00E034A9"/>
    <w:rsid w:val="00E034DC"/>
    <w:rsid w:val="00E036C1"/>
    <w:rsid w:val="00E039AC"/>
    <w:rsid w:val="00E03BDD"/>
    <w:rsid w:val="00E05266"/>
    <w:rsid w:val="00E05444"/>
    <w:rsid w:val="00E06932"/>
    <w:rsid w:val="00E06E95"/>
    <w:rsid w:val="00E072DD"/>
    <w:rsid w:val="00E0742C"/>
    <w:rsid w:val="00E07873"/>
    <w:rsid w:val="00E10AE6"/>
    <w:rsid w:val="00E11E97"/>
    <w:rsid w:val="00E12687"/>
    <w:rsid w:val="00E13B8B"/>
    <w:rsid w:val="00E13D99"/>
    <w:rsid w:val="00E141BA"/>
    <w:rsid w:val="00E14629"/>
    <w:rsid w:val="00E15553"/>
    <w:rsid w:val="00E15A41"/>
    <w:rsid w:val="00E15BDF"/>
    <w:rsid w:val="00E1672B"/>
    <w:rsid w:val="00E16A53"/>
    <w:rsid w:val="00E16A6A"/>
    <w:rsid w:val="00E17A4E"/>
    <w:rsid w:val="00E17BBC"/>
    <w:rsid w:val="00E202B9"/>
    <w:rsid w:val="00E20A4B"/>
    <w:rsid w:val="00E20B07"/>
    <w:rsid w:val="00E20BE8"/>
    <w:rsid w:val="00E20D44"/>
    <w:rsid w:val="00E20D54"/>
    <w:rsid w:val="00E20F0B"/>
    <w:rsid w:val="00E21911"/>
    <w:rsid w:val="00E21930"/>
    <w:rsid w:val="00E22468"/>
    <w:rsid w:val="00E2308F"/>
    <w:rsid w:val="00E235B3"/>
    <w:rsid w:val="00E23712"/>
    <w:rsid w:val="00E23802"/>
    <w:rsid w:val="00E23B4F"/>
    <w:rsid w:val="00E24DDA"/>
    <w:rsid w:val="00E26325"/>
    <w:rsid w:val="00E263E9"/>
    <w:rsid w:val="00E265AC"/>
    <w:rsid w:val="00E267D5"/>
    <w:rsid w:val="00E2749B"/>
    <w:rsid w:val="00E27D50"/>
    <w:rsid w:val="00E30B00"/>
    <w:rsid w:val="00E30E81"/>
    <w:rsid w:val="00E31261"/>
    <w:rsid w:val="00E326C4"/>
    <w:rsid w:val="00E32718"/>
    <w:rsid w:val="00E32A92"/>
    <w:rsid w:val="00E336CF"/>
    <w:rsid w:val="00E33894"/>
    <w:rsid w:val="00E33CDF"/>
    <w:rsid w:val="00E346D8"/>
    <w:rsid w:val="00E34FF7"/>
    <w:rsid w:val="00E35043"/>
    <w:rsid w:val="00E36665"/>
    <w:rsid w:val="00E371B6"/>
    <w:rsid w:val="00E37F91"/>
    <w:rsid w:val="00E40BED"/>
    <w:rsid w:val="00E41830"/>
    <w:rsid w:val="00E41EC8"/>
    <w:rsid w:val="00E420BB"/>
    <w:rsid w:val="00E42BA5"/>
    <w:rsid w:val="00E43748"/>
    <w:rsid w:val="00E43EE9"/>
    <w:rsid w:val="00E443CC"/>
    <w:rsid w:val="00E447F8"/>
    <w:rsid w:val="00E45521"/>
    <w:rsid w:val="00E45AE5"/>
    <w:rsid w:val="00E45AE8"/>
    <w:rsid w:val="00E45B62"/>
    <w:rsid w:val="00E45E78"/>
    <w:rsid w:val="00E461B2"/>
    <w:rsid w:val="00E46A59"/>
    <w:rsid w:val="00E46DAF"/>
    <w:rsid w:val="00E503F5"/>
    <w:rsid w:val="00E509C2"/>
    <w:rsid w:val="00E50B47"/>
    <w:rsid w:val="00E511D8"/>
    <w:rsid w:val="00E53264"/>
    <w:rsid w:val="00E53C78"/>
    <w:rsid w:val="00E548AB"/>
    <w:rsid w:val="00E55FA0"/>
    <w:rsid w:val="00E564BA"/>
    <w:rsid w:val="00E57D68"/>
    <w:rsid w:val="00E60E9F"/>
    <w:rsid w:val="00E61B51"/>
    <w:rsid w:val="00E62008"/>
    <w:rsid w:val="00E62585"/>
    <w:rsid w:val="00E6277A"/>
    <w:rsid w:val="00E62F05"/>
    <w:rsid w:val="00E63055"/>
    <w:rsid w:val="00E6363C"/>
    <w:rsid w:val="00E65289"/>
    <w:rsid w:val="00E65A51"/>
    <w:rsid w:val="00E66B7B"/>
    <w:rsid w:val="00E66D4F"/>
    <w:rsid w:val="00E676C3"/>
    <w:rsid w:val="00E6778D"/>
    <w:rsid w:val="00E70DBF"/>
    <w:rsid w:val="00E70E71"/>
    <w:rsid w:val="00E71521"/>
    <w:rsid w:val="00E71B32"/>
    <w:rsid w:val="00E71D16"/>
    <w:rsid w:val="00E7295B"/>
    <w:rsid w:val="00E76E82"/>
    <w:rsid w:val="00E770B3"/>
    <w:rsid w:val="00E77767"/>
    <w:rsid w:val="00E77998"/>
    <w:rsid w:val="00E804AB"/>
    <w:rsid w:val="00E81727"/>
    <w:rsid w:val="00E81C06"/>
    <w:rsid w:val="00E82DC6"/>
    <w:rsid w:val="00E83E49"/>
    <w:rsid w:val="00E8416C"/>
    <w:rsid w:val="00E845B9"/>
    <w:rsid w:val="00E84E38"/>
    <w:rsid w:val="00E84F7D"/>
    <w:rsid w:val="00E855A8"/>
    <w:rsid w:val="00E85E8A"/>
    <w:rsid w:val="00E86114"/>
    <w:rsid w:val="00E8653D"/>
    <w:rsid w:val="00E86588"/>
    <w:rsid w:val="00E8666B"/>
    <w:rsid w:val="00E86793"/>
    <w:rsid w:val="00E8705F"/>
    <w:rsid w:val="00E87115"/>
    <w:rsid w:val="00E87175"/>
    <w:rsid w:val="00E878DC"/>
    <w:rsid w:val="00E87BA8"/>
    <w:rsid w:val="00E90265"/>
    <w:rsid w:val="00E9048B"/>
    <w:rsid w:val="00E90789"/>
    <w:rsid w:val="00E90A72"/>
    <w:rsid w:val="00E91347"/>
    <w:rsid w:val="00E918D9"/>
    <w:rsid w:val="00E91AAD"/>
    <w:rsid w:val="00E92058"/>
    <w:rsid w:val="00E9234E"/>
    <w:rsid w:val="00E92B68"/>
    <w:rsid w:val="00E92FC3"/>
    <w:rsid w:val="00E94741"/>
    <w:rsid w:val="00E969A3"/>
    <w:rsid w:val="00E976AA"/>
    <w:rsid w:val="00EA01CF"/>
    <w:rsid w:val="00EA08BC"/>
    <w:rsid w:val="00EA0A8C"/>
    <w:rsid w:val="00EA0C8A"/>
    <w:rsid w:val="00EA13F5"/>
    <w:rsid w:val="00EA173F"/>
    <w:rsid w:val="00EA238C"/>
    <w:rsid w:val="00EA32D8"/>
    <w:rsid w:val="00EA373C"/>
    <w:rsid w:val="00EA3E19"/>
    <w:rsid w:val="00EA3F14"/>
    <w:rsid w:val="00EA3FB0"/>
    <w:rsid w:val="00EA5267"/>
    <w:rsid w:val="00EA529A"/>
    <w:rsid w:val="00EA68A0"/>
    <w:rsid w:val="00EA7968"/>
    <w:rsid w:val="00EA7EDB"/>
    <w:rsid w:val="00EB097A"/>
    <w:rsid w:val="00EB0D1F"/>
    <w:rsid w:val="00EB0E23"/>
    <w:rsid w:val="00EB12E3"/>
    <w:rsid w:val="00EB148B"/>
    <w:rsid w:val="00EB1FE8"/>
    <w:rsid w:val="00EB21A4"/>
    <w:rsid w:val="00EB2E37"/>
    <w:rsid w:val="00EB2F78"/>
    <w:rsid w:val="00EB34D0"/>
    <w:rsid w:val="00EB3675"/>
    <w:rsid w:val="00EB45BB"/>
    <w:rsid w:val="00EB4A2B"/>
    <w:rsid w:val="00EB6844"/>
    <w:rsid w:val="00EB6860"/>
    <w:rsid w:val="00EC28E1"/>
    <w:rsid w:val="00EC2A98"/>
    <w:rsid w:val="00EC2AE4"/>
    <w:rsid w:val="00EC3289"/>
    <w:rsid w:val="00EC38CB"/>
    <w:rsid w:val="00EC3A06"/>
    <w:rsid w:val="00EC4969"/>
    <w:rsid w:val="00EC4D40"/>
    <w:rsid w:val="00EC4F79"/>
    <w:rsid w:val="00EC640C"/>
    <w:rsid w:val="00EC6498"/>
    <w:rsid w:val="00EC6ED1"/>
    <w:rsid w:val="00ED09BE"/>
    <w:rsid w:val="00ED1040"/>
    <w:rsid w:val="00ED2147"/>
    <w:rsid w:val="00ED23A1"/>
    <w:rsid w:val="00ED27E2"/>
    <w:rsid w:val="00ED2E45"/>
    <w:rsid w:val="00ED34E0"/>
    <w:rsid w:val="00ED3F07"/>
    <w:rsid w:val="00ED41CE"/>
    <w:rsid w:val="00ED4C0B"/>
    <w:rsid w:val="00ED4CA8"/>
    <w:rsid w:val="00ED4E85"/>
    <w:rsid w:val="00ED509C"/>
    <w:rsid w:val="00ED55C3"/>
    <w:rsid w:val="00ED5C75"/>
    <w:rsid w:val="00ED5C7E"/>
    <w:rsid w:val="00ED617F"/>
    <w:rsid w:val="00ED6BC5"/>
    <w:rsid w:val="00ED7893"/>
    <w:rsid w:val="00EE059D"/>
    <w:rsid w:val="00EE0602"/>
    <w:rsid w:val="00EE0EE3"/>
    <w:rsid w:val="00EE1DAA"/>
    <w:rsid w:val="00EE251F"/>
    <w:rsid w:val="00EE3446"/>
    <w:rsid w:val="00EE3C6A"/>
    <w:rsid w:val="00EE4527"/>
    <w:rsid w:val="00EE4645"/>
    <w:rsid w:val="00EE5715"/>
    <w:rsid w:val="00EE66E0"/>
    <w:rsid w:val="00EE6704"/>
    <w:rsid w:val="00EE6C13"/>
    <w:rsid w:val="00EE6EDB"/>
    <w:rsid w:val="00EE79CE"/>
    <w:rsid w:val="00EF08F7"/>
    <w:rsid w:val="00EF144B"/>
    <w:rsid w:val="00EF149C"/>
    <w:rsid w:val="00EF1F4F"/>
    <w:rsid w:val="00EF20EA"/>
    <w:rsid w:val="00EF2382"/>
    <w:rsid w:val="00EF25DE"/>
    <w:rsid w:val="00EF2BD0"/>
    <w:rsid w:val="00EF2FE9"/>
    <w:rsid w:val="00EF3CF3"/>
    <w:rsid w:val="00EF3D3F"/>
    <w:rsid w:val="00EF4108"/>
    <w:rsid w:val="00EF4808"/>
    <w:rsid w:val="00EF59C8"/>
    <w:rsid w:val="00EF6AC6"/>
    <w:rsid w:val="00EF7B02"/>
    <w:rsid w:val="00F00198"/>
    <w:rsid w:val="00F001E1"/>
    <w:rsid w:val="00F001FA"/>
    <w:rsid w:val="00F00802"/>
    <w:rsid w:val="00F00ABB"/>
    <w:rsid w:val="00F0189E"/>
    <w:rsid w:val="00F02081"/>
    <w:rsid w:val="00F02309"/>
    <w:rsid w:val="00F033FE"/>
    <w:rsid w:val="00F03908"/>
    <w:rsid w:val="00F04463"/>
    <w:rsid w:val="00F0497A"/>
    <w:rsid w:val="00F04B81"/>
    <w:rsid w:val="00F04F0D"/>
    <w:rsid w:val="00F05E23"/>
    <w:rsid w:val="00F05FAB"/>
    <w:rsid w:val="00F05FCB"/>
    <w:rsid w:val="00F065BA"/>
    <w:rsid w:val="00F0668D"/>
    <w:rsid w:val="00F07725"/>
    <w:rsid w:val="00F07CC2"/>
    <w:rsid w:val="00F10B07"/>
    <w:rsid w:val="00F11157"/>
    <w:rsid w:val="00F11183"/>
    <w:rsid w:val="00F11298"/>
    <w:rsid w:val="00F1182D"/>
    <w:rsid w:val="00F11CF3"/>
    <w:rsid w:val="00F11DB5"/>
    <w:rsid w:val="00F12020"/>
    <w:rsid w:val="00F1351B"/>
    <w:rsid w:val="00F13B5F"/>
    <w:rsid w:val="00F140EC"/>
    <w:rsid w:val="00F14646"/>
    <w:rsid w:val="00F15780"/>
    <w:rsid w:val="00F15910"/>
    <w:rsid w:val="00F15BDC"/>
    <w:rsid w:val="00F16B2E"/>
    <w:rsid w:val="00F179B0"/>
    <w:rsid w:val="00F17DC2"/>
    <w:rsid w:val="00F20C30"/>
    <w:rsid w:val="00F20E33"/>
    <w:rsid w:val="00F21004"/>
    <w:rsid w:val="00F22370"/>
    <w:rsid w:val="00F2285A"/>
    <w:rsid w:val="00F22B55"/>
    <w:rsid w:val="00F22B75"/>
    <w:rsid w:val="00F22E0A"/>
    <w:rsid w:val="00F22ECF"/>
    <w:rsid w:val="00F239D9"/>
    <w:rsid w:val="00F24293"/>
    <w:rsid w:val="00F24DDE"/>
    <w:rsid w:val="00F25047"/>
    <w:rsid w:val="00F25484"/>
    <w:rsid w:val="00F25488"/>
    <w:rsid w:val="00F25DBB"/>
    <w:rsid w:val="00F26251"/>
    <w:rsid w:val="00F2637B"/>
    <w:rsid w:val="00F264AD"/>
    <w:rsid w:val="00F26D12"/>
    <w:rsid w:val="00F26DD5"/>
    <w:rsid w:val="00F275AC"/>
    <w:rsid w:val="00F27975"/>
    <w:rsid w:val="00F27F8E"/>
    <w:rsid w:val="00F300A1"/>
    <w:rsid w:val="00F307A3"/>
    <w:rsid w:val="00F30809"/>
    <w:rsid w:val="00F30B46"/>
    <w:rsid w:val="00F31CC8"/>
    <w:rsid w:val="00F3203A"/>
    <w:rsid w:val="00F32CE9"/>
    <w:rsid w:val="00F335C3"/>
    <w:rsid w:val="00F340AD"/>
    <w:rsid w:val="00F34293"/>
    <w:rsid w:val="00F347FB"/>
    <w:rsid w:val="00F34D2D"/>
    <w:rsid w:val="00F36F07"/>
    <w:rsid w:val="00F3777B"/>
    <w:rsid w:val="00F37DA9"/>
    <w:rsid w:val="00F4176F"/>
    <w:rsid w:val="00F418FA"/>
    <w:rsid w:val="00F4216E"/>
    <w:rsid w:val="00F42CA4"/>
    <w:rsid w:val="00F42F35"/>
    <w:rsid w:val="00F43292"/>
    <w:rsid w:val="00F43A87"/>
    <w:rsid w:val="00F43DC5"/>
    <w:rsid w:val="00F44D76"/>
    <w:rsid w:val="00F44E29"/>
    <w:rsid w:val="00F4553A"/>
    <w:rsid w:val="00F4659D"/>
    <w:rsid w:val="00F46EDD"/>
    <w:rsid w:val="00F470A8"/>
    <w:rsid w:val="00F476EA"/>
    <w:rsid w:val="00F47725"/>
    <w:rsid w:val="00F509E6"/>
    <w:rsid w:val="00F511B4"/>
    <w:rsid w:val="00F51A35"/>
    <w:rsid w:val="00F52529"/>
    <w:rsid w:val="00F5258C"/>
    <w:rsid w:val="00F52596"/>
    <w:rsid w:val="00F52A6C"/>
    <w:rsid w:val="00F52F35"/>
    <w:rsid w:val="00F535AE"/>
    <w:rsid w:val="00F54155"/>
    <w:rsid w:val="00F551CC"/>
    <w:rsid w:val="00F558CB"/>
    <w:rsid w:val="00F55F81"/>
    <w:rsid w:val="00F56CB8"/>
    <w:rsid w:val="00F56CBD"/>
    <w:rsid w:val="00F56D12"/>
    <w:rsid w:val="00F57682"/>
    <w:rsid w:val="00F57CCD"/>
    <w:rsid w:val="00F600D7"/>
    <w:rsid w:val="00F605F5"/>
    <w:rsid w:val="00F609B3"/>
    <w:rsid w:val="00F60DC7"/>
    <w:rsid w:val="00F61D88"/>
    <w:rsid w:val="00F63512"/>
    <w:rsid w:val="00F6459A"/>
    <w:rsid w:val="00F64EF9"/>
    <w:rsid w:val="00F65441"/>
    <w:rsid w:val="00F65FF3"/>
    <w:rsid w:val="00F6647E"/>
    <w:rsid w:val="00F66B77"/>
    <w:rsid w:val="00F66CDE"/>
    <w:rsid w:val="00F66E61"/>
    <w:rsid w:val="00F6716B"/>
    <w:rsid w:val="00F678D8"/>
    <w:rsid w:val="00F678E9"/>
    <w:rsid w:val="00F70BD8"/>
    <w:rsid w:val="00F70CBF"/>
    <w:rsid w:val="00F71584"/>
    <w:rsid w:val="00F723D9"/>
    <w:rsid w:val="00F72A3F"/>
    <w:rsid w:val="00F72B56"/>
    <w:rsid w:val="00F73125"/>
    <w:rsid w:val="00F747B2"/>
    <w:rsid w:val="00F74A70"/>
    <w:rsid w:val="00F757B5"/>
    <w:rsid w:val="00F75B03"/>
    <w:rsid w:val="00F75FF9"/>
    <w:rsid w:val="00F77890"/>
    <w:rsid w:val="00F80153"/>
    <w:rsid w:val="00F80609"/>
    <w:rsid w:val="00F80D74"/>
    <w:rsid w:val="00F81660"/>
    <w:rsid w:val="00F82A34"/>
    <w:rsid w:val="00F832BF"/>
    <w:rsid w:val="00F83364"/>
    <w:rsid w:val="00F8341D"/>
    <w:rsid w:val="00F83BFC"/>
    <w:rsid w:val="00F8425F"/>
    <w:rsid w:val="00F8450F"/>
    <w:rsid w:val="00F84AD4"/>
    <w:rsid w:val="00F858F7"/>
    <w:rsid w:val="00F85CC3"/>
    <w:rsid w:val="00F86953"/>
    <w:rsid w:val="00F87931"/>
    <w:rsid w:val="00F87DE1"/>
    <w:rsid w:val="00F905B2"/>
    <w:rsid w:val="00F910BC"/>
    <w:rsid w:val="00F92152"/>
    <w:rsid w:val="00F922E8"/>
    <w:rsid w:val="00F92400"/>
    <w:rsid w:val="00F927FA"/>
    <w:rsid w:val="00F92BD4"/>
    <w:rsid w:val="00F930EA"/>
    <w:rsid w:val="00F93693"/>
    <w:rsid w:val="00F94C4C"/>
    <w:rsid w:val="00F94DC3"/>
    <w:rsid w:val="00F94F9E"/>
    <w:rsid w:val="00F95317"/>
    <w:rsid w:val="00F95D35"/>
    <w:rsid w:val="00F96602"/>
    <w:rsid w:val="00F96B08"/>
    <w:rsid w:val="00F96BB2"/>
    <w:rsid w:val="00F97523"/>
    <w:rsid w:val="00F976F4"/>
    <w:rsid w:val="00F97717"/>
    <w:rsid w:val="00F97812"/>
    <w:rsid w:val="00FA011F"/>
    <w:rsid w:val="00FA08BD"/>
    <w:rsid w:val="00FA0C66"/>
    <w:rsid w:val="00FA1A22"/>
    <w:rsid w:val="00FA1FC8"/>
    <w:rsid w:val="00FA2980"/>
    <w:rsid w:val="00FA2B1B"/>
    <w:rsid w:val="00FA2DF8"/>
    <w:rsid w:val="00FA444F"/>
    <w:rsid w:val="00FA44BA"/>
    <w:rsid w:val="00FA4573"/>
    <w:rsid w:val="00FA5E29"/>
    <w:rsid w:val="00FA6B27"/>
    <w:rsid w:val="00FA6F32"/>
    <w:rsid w:val="00FB01AF"/>
    <w:rsid w:val="00FB0D0C"/>
    <w:rsid w:val="00FB0D4A"/>
    <w:rsid w:val="00FB28AB"/>
    <w:rsid w:val="00FB3E6D"/>
    <w:rsid w:val="00FB494C"/>
    <w:rsid w:val="00FB4FBC"/>
    <w:rsid w:val="00FB571E"/>
    <w:rsid w:val="00FB5AB3"/>
    <w:rsid w:val="00FB5BA4"/>
    <w:rsid w:val="00FB6042"/>
    <w:rsid w:val="00FB66B9"/>
    <w:rsid w:val="00FB7204"/>
    <w:rsid w:val="00FB76D0"/>
    <w:rsid w:val="00FB7E5F"/>
    <w:rsid w:val="00FC03DA"/>
    <w:rsid w:val="00FC0A2C"/>
    <w:rsid w:val="00FC0A94"/>
    <w:rsid w:val="00FC263D"/>
    <w:rsid w:val="00FC28C5"/>
    <w:rsid w:val="00FC2A82"/>
    <w:rsid w:val="00FC31E9"/>
    <w:rsid w:val="00FC36F4"/>
    <w:rsid w:val="00FC3D70"/>
    <w:rsid w:val="00FC3F95"/>
    <w:rsid w:val="00FC3FA6"/>
    <w:rsid w:val="00FC463A"/>
    <w:rsid w:val="00FC4A24"/>
    <w:rsid w:val="00FC50C9"/>
    <w:rsid w:val="00FC56FB"/>
    <w:rsid w:val="00FC5739"/>
    <w:rsid w:val="00FC5745"/>
    <w:rsid w:val="00FC6065"/>
    <w:rsid w:val="00FC6379"/>
    <w:rsid w:val="00FC6A7E"/>
    <w:rsid w:val="00FC6D35"/>
    <w:rsid w:val="00FD097C"/>
    <w:rsid w:val="00FD098A"/>
    <w:rsid w:val="00FD13B7"/>
    <w:rsid w:val="00FD15EE"/>
    <w:rsid w:val="00FD1D79"/>
    <w:rsid w:val="00FD2401"/>
    <w:rsid w:val="00FD2422"/>
    <w:rsid w:val="00FD3CF5"/>
    <w:rsid w:val="00FD3D46"/>
    <w:rsid w:val="00FD42E8"/>
    <w:rsid w:val="00FD4CAC"/>
    <w:rsid w:val="00FD4E01"/>
    <w:rsid w:val="00FD5032"/>
    <w:rsid w:val="00FD6223"/>
    <w:rsid w:val="00FD6EA8"/>
    <w:rsid w:val="00FD7274"/>
    <w:rsid w:val="00FD7CDE"/>
    <w:rsid w:val="00FE0F13"/>
    <w:rsid w:val="00FE16E2"/>
    <w:rsid w:val="00FE1D61"/>
    <w:rsid w:val="00FE1EC1"/>
    <w:rsid w:val="00FE2113"/>
    <w:rsid w:val="00FE2777"/>
    <w:rsid w:val="00FE401F"/>
    <w:rsid w:val="00FE47E8"/>
    <w:rsid w:val="00FE4A1E"/>
    <w:rsid w:val="00FE4AED"/>
    <w:rsid w:val="00FE4F3F"/>
    <w:rsid w:val="00FE5B98"/>
    <w:rsid w:val="00FE5F15"/>
    <w:rsid w:val="00FE66BD"/>
    <w:rsid w:val="00FE694D"/>
    <w:rsid w:val="00FE7017"/>
    <w:rsid w:val="00FE75FE"/>
    <w:rsid w:val="00FE7EC0"/>
    <w:rsid w:val="00FF01FB"/>
    <w:rsid w:val="00FF025D"/>
    <w:rsid w:val="00FF059C"/>
    <w:rsid w:val="00FF06A3"/>
    <w:rsid w:val="00FF078A"/>
    <w:rsid w:val="00FF08DF"/>
    <w:rsid w:val="00FF0BB7"/>
    <w:rsid w:val="00FF1358"/>
    <w:rsid w:val="00FF1702"/>
    <w:rsid w:val="00FF2573"/>
    <w:rsid w:val="00FF2D22"/>
    <w:rsid w:val="00FF3426"/>
    <w:rsid w:val="00FF37B3"/>
    <w:rsid w:val="00FF3E72"/>
    <w:rsid w:val="00FF41CF"/>
    <w:rsid w:val="00FF5025"/>
    <w:rsid w:val="00FF53EB"/>
    <w:rsid w:val="00FF688C"/>
    <w:rsid w:val="00FF6C87"/>
    <w:rsid w:val="00FF7138"/>
    <w:rsid w:val="00FF72D1"/>
    <w:rsid w:val="06EC6AB0"/>
    <w:rsid w:val="0BF249F1"/>
    <w:rsid w:val="0E333B83"/>
    <w:rsid w:val="17CD578C"/>
    <w:rsid w:val="2BF9450B"/>
    <w:rsid w:val="4C9E3949"/>
    <w:rsid w:val="5BB637F3"/>
    <w:rsid w:val="5CC241AB"/>
    <w:rsid w:val="61245659"/>
    <w:rsid w:val="691C0BCE"/>
    <w:rsid w:val="70044914"/>
    <w:rsid w:val="78D07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link w:val="20"/>
    <w:autoRedefine/>
    <w:qFormat/>
    <w:uiPriority w:val="0"/>
    <w:pPr>
      <w:ind w:firstLine="560" w:firstLineChars="200"/>
    </w:pPr>
    <w:rPr>
      <w:rFonts w:ascii="仿宋_GB2312" w:hAnsi="宋体" w:eastAsia="宋体" w:cs="Times New Roman"/>
      <w:szCs w:val="24"/>
    </w:rPr>
  </w:style>
  <w:style w:type="paragraph" w:styleId="5">
    <w:name w:val="toc 3"/>
    <w:basedOn w:val="1"/>
    <w:next w:val="1"/>
    <w:autoRedefine/>
    <w:semiHidden/>
    <w:unhideWhenUsed/>
    <w:qFormat/>
    <w:uiPriority w:val="39"/>
    <w:pPr>
      <w:widowControl/>
      <w:spacing w:after="100" w:line="276" w:lineRule="auto"/>
      <w:ind w:left="440"/>
      <w:jc w:val="left"/>
    </w:pPr>
    <w:rPr>
      <w:kern w:val="0"/>
      <w:sz w:val="22"/>
    </w:rPr>
  </w:style>
  <w:style w:type="paragraph" w:styleId="6">
    <w:name w:val="Date"/>
    <w:basedOn w:val="1"/>
    <w:next w:val="1"/>
    <w:link w:val="23"/>
    <w:autoRedefine/>
    <w:semiHidden/>
    <w:unhideWhenUsed/>
    <w:qFormat/>
    <w:uiPriority w:val="99"/>
    <w:pPr>
      <w:ind w:left="100" w:leftChars="2500"/>
    </w:pPr>
  </w:style>
  <w:style w:type="paragraph" w:styleId="7">
    <w:name w:val="Balloon Text"/>
    <w:basedOn w:val="1"/>
    <w:link w:val="22"/>
    <w:autoRedefine/>
    <w:semiHidden/>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widowControl/>
      <w:tabs>
        <w:tab w:val="right" w:leader="dot" w:pos="8296"/>
      </w:tabs>
      <w:spacing w:after="100" w:line="276" w:lineRule="auto"/>
      <w:jc w:val="center"/>
    </w:pPr>
    <w:rPr>
      <w:b/>
      <w:kern w:val="0"/>
      <w:sz w:val="32"/>
    </w:rPr>
  </w:style>
  <w:style w:type="paragraph" w:styleId="11">
    <w:name w:val="toc 2"/>
    <w:basedOn w:val="1"/>
    <w:next w:val="1"/>
    <w:autoRedefine/>
    <w:unhideWhenUsed/>
    <w:qFormat/>
    <w:uiPriority w:val="39"/>
    <w:pPr>
      <w:widowControl/>
      <w:spacing w:after="100" w:line="276" w:lineRule="auto"/>
      <w:ind w:left="220"/>
      <w:jc w:val="left"/>
    </w:pPr>
    <w:rPr>
      <w:kern w:val="0"/>
      <w:sz w:val="22"/>
    </w:rPr>
  </w:style>
  <w:style w:type="paragraph" w:styleId="12">
    <w:name w:val="Normal (Web)"/>
    <w:basedOn w:val="1"/>
    <w:autoRedefine/>
    <w:qFormat/>
    <w:uiPriority w:val="99"/>
    <w:pPr>
      <w:spacing w:beforeAutospacing="1" w:afterAutospacing="1"/>
      <w:jc w:val="left"/>
    </w:pPr>
    <w:rPr>
      <w:rFonts w:cs="Times New Roman"/>
      <w:kern w:val="0"/>
      <w:sz w:val="24"/>
    </w:rPr>
  </w:style>
  <w:style w:type="character" w:styleId="15">
    <w:name w:val="Hyperlink"/>
    <w:basedOn w:val="14"/>
    <w:autoRedefine/>
    <w:unhideWhenUsed/>
    <w:qFormat/>
    <w:uiPriority w:val="99"/>
    <w:rPr>
      <w:color w:val="0000FF" w:themeColor="hyperlink"/>
      <w:u w:val="single"/>
      <w14:textFill>
        <w14:solidFill>
          <w14:schemeClr w14:val="hlink"/>
        </w14:solidFill>
      </w14:textFill>
    </w:rPr>
  </w:style>
  <w:style w:type="character" w:customStyle="1" w:styleId="16">
    <w:name w:val="页眉 Char"/>
    <w:basedOn w:val="14"/>
    <w:link w:val="9"/>
    <w:autoRedefine/>
    <w:qFormat/>
    <w:uiPriority w:val="99"/>
    <w:rPr>
      <w:sz w:val="18"/>
      <w:szCs w:val="18"/>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b/>
      <w:bCs/>
      <w:kern w:val="44"/>
      <w:sz w:val="44"/>
      <w:szCs w:val="44"/>
    </w:rPr>
  </w:style>
  <w:style w:type="character" w:customStyle="1" w:styleId="19">
    <w:name w:val="标题 2 Char"/>
    <w:basedOn w:val="14"/>
    <w:link w:val="3"/>
    <w:autoRedefine/>
    <w:semiHidden/>
    <w:qFormat/>
    <w:uiPriority w:val="9"/>
    <w:rPr>
      <w:rFonts w:asciiTheme="majorHAnsi" w:hAnsiTheme="majorHAnsi" w:eastAsiaTheme="majorEastAsia" w:cstheme="majorBidi"/>
      <w:b/>
      <w:bCs/>
      <w:sz w:val="32"/>
      <w:szCs w:val="32"/>
    </w:rPr>
  </w:style>
  <w:style w:type="character" w:customStyle="1" w:styleId="20">
    <w:name w:val="正文文本缩进 Char"/>
    <w:basedOn w:val="14"/>
    <w:link w:val="4"/>
    <w:autoRedefine/>
    <w:qFormat/>
    <w:uiPriority w:val="0"/>
    <w:rPr>
      <w:rFonts w:ascii="仿宋_GB2312" w:hAnsi="宋体" w:eastAsia="宋体" w:cs="Times New Roman"/>
      <w:szCs w:val="24"/>
    </w:rPr>
  </w:style>
  <w:style w:type="paragraph" w:customStyle="1" w:styleId="21">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2">
    <w:name w:val="批注框文本 Char"/>
    <w:basedOn w:val="14"/>
    <w:link w:val="7"/>
    <w:autoRedefine/>
    <w:semiHidden/>
    <w:qFormat/>
    <w:uiPriority w:val="99"/>
    <w:rPr>
      <w:sz w:val="18"/>
      <w:szCs w:val="18"/>
    </w:rPr>
  </w:style>
  <w:style w:type="character" w:customStyle="1" w:styleId="23">
    <w:name w:val="日期 Char"/>
    <w:basedOn w:val="14"/>
    <w:link w:val="6"/>
    <w:autoRedefine/>
    <w:semiHidden/>
    <w:qFormat/>
    <w:uiPriority w:val="99"/>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2C0FB-F4D7-4CB4-92CB-BA8754F62C1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4616</Words>
  <Characters>4856</Characters>
  <Lines>52</Lines>
  <Paragraphs>14</Paragraphs>
  <TotalTime>3</TotalTime>
  <ScaleCrop>false</ScaleCrop>
  <LinksUpToDate>false</LinksUpToDate>
  <CharactersWithSpaces>4897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2024-05-07T10:11:00Z</dcterms:created>
  <dc:creator>石令</dc:creator>
  <cp:lastModifiedBy>辰阳</cp:lastModifiedBy>
  <cp:lastPrinted>2025-02-25T03:21:40Z</cp:lastPrinted>
  <dcterms:modified xsi:type="dcterms:W3CDTF">2025-02-25T03:22:08Z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599F4ADB7D5C4587B268A894BF2BC002_12</vt:lpwstr>
  </property>
  <property fmtid="{D5CDD505-2E9C-101B-9397-08002B2CF9AE}" pid="4" name="KSOTemplateDocerSaveRecord">
    <vt:lpwstr>eyJoZGlkIjoiZDMxZmM3OTVlODlkZDZjNGE0MjM0N2YzMmYxODVkOTAiLCJ1c2VySWQiOiI1MDA4NjM2ODkifQ==</vt:lpwstr>
  </property>
</Properties>
</file>